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35" w:type="dxa"/>
        <w:tblBorders>
          <w:left w:val="single" w:sz="36" w:space="0" w:color="B37B0E" w:themeColor="accent4" w:themeShade="BF"/>
        </w:tblBorders>
        <w:tblLayout w:type="fixed"/>
        <w:tblCellMar>
          <w:left w:w="144" w:type="dxa"/>
        </w:tblCellMar>
        <w:tblLook w:val="0600" w:firstRow="0" w:lastRow="0" w:firstColumn="0" w:lastColumn="0" w:noHBand="1" w:noVBand="1"/>
      </w:tblPr>
      <w:tblGrid>
        <w:gridCol w:w="9450"/>
      </w:tblGrid>
      <w:tr w:rsidR="00C026B2" w14:paraId="187331E1" w14:textId="77777777" w:rsidTr="00A21B9F">
        <w:trPr>
          <w:trHeight w:val="1260"/>
        </w:trPr>
        <w:tc>
          <w:tcPr>
            <w:tcW w:w="9450" w:type="dxa"/>
            <w:tcBorders>
              <w:left w:val="single" w:sz="36" w:space="0" w:color="053D58" w:themeColor="accent1"/>
            </w:tcBorders>
          </w:tcPr>
          <w:p w14:paraId="68F9F421" w14:textId="476E3957" w:rsidR="00E631CF" w:rsidRDefault="00BA1451" w:rsidP="00C026B2">
            <w:pPr>
              <w:pStyle w:val="Title"/>
            </w:pPr>
            <w:r>
              <w:t>S</w:t>
            </w:r>
            <w:r w:rsidR="00E631CF">
              <w:t>TERICLEAN</w:t>
            </w:r>
          </w:p>
          <w:p w14:paraId="019DA943" w14:textId="7E95448D" w:rsidR="00C026B2" w:rsidRDefault="00E631CF" w:rsidP="00C026B2">
            <w:pPr>
              <w:pStyle w:val="Title"/>
            </w:pPr>
            <w:r>
              <w:rPr>
                <w:b/>
                <w:bCs/>
                <w:color w:val="92D050"/>
                <w:sz w:val="32"/>
                <w:szCs w:val="32"/>
              </w:rPr>
              <w:t xml:space="preserve">           bY oPTIMAL</w:t>
            </w:r>
            <w:r w:rsidR="00C026B2">
              <w:t xml:space="preserve"> </w:t>
            </w:r>
          </w:p>
        </w:tc>
      </w:tr>
      <w:tr w:rsidR="00C026B2" w14:paraId="2D275F7F" w14:textId="77777777" w:rsidTr="00A21B9F">
        <w:trPr>
          <w:trHeight w:val="270"/>
        </w:trPr>
        <w:tc>
          <w:tcPr>
            <w:tcW w:w="9450" w:type="dxa"/>
            <w:tcBorders>
              <w:left w:val="single" w:sz="36" w:space="0" w:color="053D58" w:themeColor="accent1"/>
            </w:tcBorders>
          </w:tcPr>
          <w:p w14:paraId="164D439B" w14:textId="18939055" w:rsidR="00C026B2" w:rsidRDefault="00E631CF" w:rsidP="00A21B9F">
            <w:pPr>
              <w:pStyle w:val="Subtitle"/>
            </w:pPr>
            <w:r w:rsidRPr="00E631CF">
              <w:t>Client Service Guide &amp; FAQ</w:t>
            </w:r>
            <w:r>
              <w:t>s</w:t>
            </w:r>
          </w:p>
        </w:tc>
      </w:tr>
    </w:tbl>
    <w:p w14:paraId="5A876696" w14:textId="77777777" w:rsidR="00C026B2" w:rsidRDefault="00C026B2" w:rsidP="00C026B2">
      <w:pPr>
        <w:pStyle w:val="TipText"/>
      </w:pPr>
    </w:p>
    <w:p w14:paraId="21CA1D5E" w14:textId="77777777" w:rsidR="00E631CF" w:rsidRPr="00E631CF" w:rsidRDefault="00E631CF" w:rsidP="00E631CF">
      <w:pPr>
        <w:rPr>
          <w:b/>
          <w:bCs/>
          <w:color w:val="860000"/>
          <w:sz w:val="24"/>
          <w:szCs w:val="24"/>
        </w:rPr>
      </w:pPr>
      <w:r w:rsidRPr="00E631CF">
        <w:rPr>
          <w:b/>
          <w:bCs/>
          <w:color w:val="860000"/>
          <w:sz w:val="24"/>
          <w:szCs w:val="24"/>
        </w:rPr>
        <w:t>Our Approach</w:t>
      </w:r>
    </w:p>
    <w:p w14:paraId="61D55CF6" w14:textId="77777777" w:rsidR="00E631CF" w:rsidRDefault="00E631CF" w:rsidP="00E631CF">
      <w:r>
        <w:t>SteriClean provides project-based, condition-driven cleaning services. We do not charge by the hour.</w:t>
      </w:r>
    </w:p>
    <w:p w14:paraId="515C43F3" w14:textId="77777777" w:rsidR="00E631CF" w:rsidRDefault="00E631CF" w:rsidP="00E631CF">
      <w:r>
        <w:t>Pricing is based on the overall condition and scope of your space so that every client receives the</w:t>
      </w:r>
    </w:p>
    <w:p w14:paraId="5BA7A169" w14:textId="77777777" w:rsidR="00E631CF" w:rsidRDefault="00E631CF" w:rsidP="00E631CF">
      <w:r>
        <w:t>appropriate level of care without being rushed or overcharged.</w:t>
      </w:r>
    </w:p>
    <w:p w14:paraId="48E814B5" w14:textId="12F14769" w:rsidR="00E631CF" w:rsidRPr="00E631CF" w:rsidRDefault="00E631CF" w:rsidP="00E631CF">
      <w:pPr>
        <w:rPr>
          <w:b/>
          <w:bCs/>
          <w:color w:val="053D58" w:themeColor="accent1"/>
          <w:sz w:val="24"/>
          <w:szCs w:val="24"/>
        </w:rPr>
      </w:pPr>
      <w:r w:rsidRPr="00E631CF">
        <w:rPr>
          <w:b/>
          <w:bCs/>
          <w:color w:val="053D58" w:themeColor="accent1"/>
          <w:sz w:val="24"/>
          <w:szCs w:val="24"/>
        </w:rPr>
        <w:t>Levels of Service</w:t>
      </w:r>
    </w:p>
    <w:p w14:paraId="0A6F3C3F" w14:textId="77777777" w:rsidR="00E631CF" w:rsidRPr="00E631CF" w:rsidRDefault="00E631CF" w:rsidP="00E631CF">
      <w:pPr>
        <w:rPr>
          <w:b/>
          <w:bCs/>
          <w:color w:val="860000"/>
        </w:rPr>
      </w:pPr>
      <w:r w:rsidRPr="00E631CF">
        <w:rPr>
          <w:b/>
          <w:bCs/>
          <w:color w:val="860000"/>
        </w:rPr>
        <w:t>10-8 Reset (Back in Service)</w:t>
      </w:r>
    </w:p>
    <w:p w14:paraId="68670437" w14:textId="77777777" w:rsidR="00E631CF" w:rsidRDefault="00E631CF" w:rsidP="00E631CF">
      <w:r>
        <w:t>Inspired by DeKalb County 10-codes, 10-8 means “back in service.” This level is designed for</w:t>
      </w:r>
    </w:p>
    <w:p w14:paraId="5319AF2F" w14:textId="77777777" w:rsidR="00E631CF" w:rsidRDefault="00E631CF" w:rsidP="00E631CF">
      <w:r>
        <w:t>maintained homes that need a professional reset and routine care.</w:t>
      </w:r>
    </w:p>
    <w:p w14:paraId="1B628BEC" w14:textId="77777777" w:rsidR="00E631CF" w:rsidRPr="00E631CF" w:rsidRDefault="00E631CF" w:rsidP="00E631CF">
      <w:pPr>
        <w:rPr>
          <w:b/>
          <w:bCs/>
          <w:color w:val="860000"/>
        </w:rPr>
      </w:pPr>
      <w:r w:rsidRPr="00E631CF">
        <w:rPr>
          <w:b/>
          <w:bCs/>
          <w:color w:val="860000"/>
        </w:rPr>
        <w:t>For the Overwhelmed Reset</w:t>
      </w:r>
    </w:p>
    <w:p w14:paraId="2E9E9B27" w14:textId="77777777" w:rsidR="00E631CF" w:rsidRDefault="00E631CF" w:rsidP="00E631CF">
      <w:r>
        <w:t>Designed for spaces needing deeper attention due to missed cleanings, life transitions, or moderate</w:t>
      </w:r>
    </w:p>
    <w:p w14:paraId="15B2E669" w14:textId="77777777" w:rsidR="00E631CF" w:rsidRDefault="00E631CF" w:rsidP="00E631CF">
      <w:r>
        <w:t>buildup.</w:t>
      </w:r>
    </w:p>
    <w:p w14:paraId="0B3E0950" w14:textId="77777777" w:rsidR="00E631CF" w:rsidRPr="00E631CF" w:rsidRDefault="00E631CF" w:rsidP="00E631CF">
      <w:pPr>
        <w:rPr>
          <w:b/>
          <w:bCs/>
          <w:color w:val="860000"/>
        </w:rPr>
      </w:pPr>
      <w:r w:rsidRPr="00E631CF">
        <w:rPr>
          <w:b/>
          <w:bCs/>
          <w:color w:val="860000"/>
        </w:rPr>
        <w:t>10-33 Restoration</w:t>
      </w:r>
    </w:p>
    <w:p w14:paraId="65F7FA42" w14:textId="77777777" w:rsidR="00E631CF" w:rsidRDefault="00E631CF" w:rsidP="00E631CF">
      <w:r>
        <w:t>Using DeKalb County 10-codes, 10-33 means “emergency traffic only.” This level is reserved for severe</w:t>
      </w:r>
    </w:p>
    <w:p w14:paraId="754898A7" w14:textId="77777777" w:rsidR="00E631CF" w:rsidRDefault="00E631CF" w:rsidP="00E631CF">
      <w:r>
        <w:t>or urgent conditions that require focused, uninterrupted restoration. An assessment is required prior to</w:t>
      </w:r>
    </w:p>
    <w:p w14:paraId="7D154755" w14:textId="77777777" w:rsidR="00E631CF" w:rsidRDefault="00E631CF" w:rsidP="00E631CF">
      <w:r>
        <w:t>service.</w:t>
      </w:r>
    </w:p>
    <w:p w14:paraId="0456D9E1" w14:textId="77777777" w:rsidR="00E631CF" w:rsidRDefault="00E631CF" w:rsidP="00E631CF">
      <w:pPr>
        <w:rPr>
          <w:b/>
          <w:bCs/>
          <w:color w:val="053D58" w:themeColor="accent1"/>
          <w:sz w:val="24"/>
          <w:szCs w:val="24"/>
        </w:rPr>
      </w:pPr>
    </w:p>
    <w:p w14:paraId="2B634AAF" w14:textId="4158BCFC" w:rsidR="00E631CF" w:rsidRPr="00E631CF" w:rsidRDefault="00E631CF" w:rsidP="00E631CF">
      <w:pPr>
        <w:rPr>
          <w:b/>
          <w:bCs/>
          <w:color w:val="053D58" w:themeColor="accent1"/>
          <w:sz w:val="24"/>
          <w:szCs w:val="24"/>
        </w:rPr>
      </w:pPr>
      <w:r w:rsidRPr="00E631CF">
        <w:rPr>
          <w:b/>
          <w:bCs/>
          <w:color w:val="053D58" w:themeColor="accent1"/>
          <w:sz w:val="24"/>
          <w:szCs w:val="24"/>
        </w:rPr>
        <w:t>Fairness Across the Home</w:t>
      </w:r>
    </w:p>
    <w:p w14:paraId="1B34F4BE" w14:textId="77777777" w:rsidR="00E631CF" w:rsidRDefault="00E631CF" w:rsidP="00E631CF">
      <w:r>
        <w:t>We evaluate the home as a whole. One heavily used area does not automatically increase your service</w:t>
      </w:r>
    </w:p>
    <w:p w14:paraId="599DD658" w14:textId="77777777" w:rsidR="00E631CF" w:rsidRDefault="00E631CF" w:rsidP="00E631CF">
      <w:r>
        <w:t>level unless it reflects a broader condition issue. This ensures fair pricing, especially in larger homes.</w:t>
      </w:r>
    </w:p>
    <w:p w14:paraId="562E17ED" w14:textId="77777777" w:rsidR="00E631CF" w:rsidRDefault="00E631CF" w:rsidP="00E631CF">
      <w:pPr>
        <w:rPr>
          <w:b/>
          <w:bCs/>
          <w:color w:val="053D58" w:themeColor="accent1"/>
          <w:sz w:val="24"/>
          <w:szCs w:val="24"/>
        </w:rPr>
      </w:pPr>
    </w:p>
    <w:p w14:paraId="6D018823" w14:textId="77777777" w:rsidR="00E631CF" w:rsidRDefault="00E631CF" w:rsidP="00E631CF">
      <w:pPr>
        <w:rPr>
          <w:b/>
          <w:bCs/>
          <w:color w:val="053D58" w:themeColor="accent1"/>
          <w:sz w:val="24"/>
          <w:szCs w:val="24"/>
        </w:rPr>
      </w:pPr>
    </w:p>
    <w:p w14:paraId="1734C616" w14:textId="28194890" w:rsidR="00E631CF" w:rsidRPr="00E631CF" w:rsidRDefault="00E631CF" w:rsidP="00E631CF">
      <w:pPr>
        <w:rPr>
          <w:b/>
          <w:bCs/>
          <w:color w:val="053D58" w:themeColor="accent1"/>
          <w:sz w:val="24"/>
          <w:szCs w:val="24"/>
        </w:rPr>
      </w:pPr>
      <w:r w:rsidRPr="00E631CF">
        <w:rPr>
          <w:b/>
          <w:bCs/>
          <w:color w:val="053D58" w:themeColor="accent1"/>
          <w:sz w:val="24"/>
          <w:szCs w:val="24"/>
        </w:rPr>
        <w:t>Add-On Services</w:t>
      </w:r>
    </w:p>
    <w:p w14:paraId="5EA004D8" w14:textId="77777777" w:rsidR="00E631CF" w:rsidRDefault="00E631CF" w:rsidP="00E631CF">
      <w:r>
        <w:lastRenderedPageBreak/>
        <w:t>Optional services such as appliance interiors, windows, and laundry are priced separately and do not</w:t>
      </w:r>
    </w:p>
    <w:p w14:paraId="3BE6BDEB" w14:textId="77777777" w:rsidR="00E631CF" w:rsidRDefault="00E631CF" w:rsidP="00E631CF">
      <w:r>
        <w:t>affect your service level.</w:t>
      </w:r>
    </w:p>
    <w:p w14:paraId="5A1B32AC" w14:textId="77777777" w:rsidR="00E631CF" w:rsidRDefault="00E631CF" w:rsidP="00E631CF">
      <w:pPr>
        <w:rPr>
          <w:b/>
          <w:bCs/>
          <w:color w:val="053D58" w:themeColor="accent1"/>
          <w:sz w:val="24"/>
          <w:szCs w:val="24"/>
        </w:rPr>
      </w:pPr>
    </w:p>
    <w:p w14:paraId="1E10A5FB" w14:textId="798E107B" w:rsidR="00E631CF" w:rsidRPr="00E631CF" w:rsidRDefault="00E631CF" w:rsidP="00E631CF">
      <w:pPr>
        <w:rPr>
          <w:b/>
          <w:bCs/>
          <w:color w:val="053D58" w:themeColor="accent1"/>
          <w:sz w:val="24"/>
          <w:szCs w:val="24"/>
        </w:rPr>
      </w:pPr>
      <w:r w:rsidRPr="00E631CF">
        <w:rPr>
          <w:b/>
          <w:bCs/>
          <w:color w:val="053D58" w:themeColor="accent1"/>
          <w:sz w:val="24"/>
          <w:szCs w:val="24"/>
        </w:rPr>
        <w:t>Recurring Service Benefits</w:t>
      </w:r>
    </w:p>
    <w:p w14:paraId="7FBC5E34" w14:textId="77777777" w:rsidR="00E631CF" w:rsidRDefault="00E631CF" w:rsidP="00E631CF">
      <w:r>
        <w:t>Clients on a recurring schedule receive project credits as a thank-you for consistency. As long as your</w:t>
      </w:r>
    </w:p>
    <w:p w14:paraId="7876F0CA" w14:textId="77777777" w:rsidR="00E631CF" w:rsidRDefault="00E631CF" w:rsidP="00E631CF">
      <w:r>
        <w:t>space remains maintained, recurring clients are protected from unnecessary escalation.</w:t>
      </w:r>
    </w:p>
    <w:p w14:paraId="51F4EA14" w14:textId="77777777" w:rsidR="00E631CF" w:rsidRDefault="00E631CF" w:rsidP="00E631CF">
      <w:pPr>
        <w:rPr>
          <w:b/>
          <w:bCs/>
          <w:color w:val="053D58" w:themeColor="accent1"/>
          <w:sz w:val="24"/>
          <w:szCs w:val="24"/>
        </w:rPr>
      </w:pPr>
    </w:p>
    <w:p w14:paraId="0A7881EE" w14:textId="24259C96" w:rsidR="00E631CF" w:rsidRPr="00E631CF" w:rsidRDefault="00E631CF" w:rsidP="00E631CF">
      <w:pPr>
        <w:rPr>
          <w:b/>
          <w:bCs/>
          <w:color w:val="053D58" w:themeColor="accent1"/>
          <w:sz w:val="24"/>
          <w:szCs w:val="24"/>
        </w:rPr>
      </w:pPr>
      <w:r w:rsidRPr="00E631CF">
        <w:rPr>
          <w:b/>
          <w:bCs/>
          <w:color w:val="053D58" w:themeColor="accent1"/>
          <w:sz w:val="24"/>
          <w:szCs w:val="24"/>
        </w:rPr>
        <w:t>Recurring Client Credits</w:t>
      </w:r>
    </w:p>
    <w:p w14:paraId="4C1D4534" w14:textId="77777777" w:rsidR="00E631CF" w:rsidRDefault="00E631CF" w:rsidP="00E631CF">
      <w:r>
        <w:t>Clients on weekly, bi-weekly, or monthly schedules receive flat project credits per visit. Credits are</w:t>
      </w:r>
    </w:p>
    <w:p w14:paraId="19F4A925" w14:textId="77777777" w:rsidR="00E631CF" w:rsidRDefault="00E631CF" w:rsidP="00E631CF">
      <w:r>
        <w:t>applied after the level of response is selected and reward consistency, not time.</w:t>
      </w:r>
    </w:p>
    <w:p w14:paraId="1E469DD2" w14:textId="77777777" w:rsidR="00E631CF" w:rsidRDefault="00E631CF" w:rsidP="00E631CF"/>
    <w:p w14:paraId="452F4DD3" w14:textId="77777777" w:rsidR="00E631CF" w:rsidRPr="00E631CF" w:rsidRDefault="00E631CF" w:rsidP="00E631CF">
      <w:pPr>
        <w:rPr>
          <w:b/>
          <w:bCs/>
          <w:color w:val="053D58" w:themeColor="accent1"/>
          <w:sz w:val="24"/>
          <w:szCs w:val="24"/>
        </w:rPr>
      </w:pPr>
      <w:r w:rsidRPr="00E631CF">
        <w:rPr>
          <w:b/>
          <w:bCs/>
          <w:color w:val="053D58" w:themeColor="accent1"/>
          <w:sz w:val="24"/>
          <w:szCs w:val="24"/>
        </w:rPr>
        <w:t>Project-Based Pricing</w:t>
      </w:r>
    </w:p>
    <w:p w14:paraId="42C97995" w14:textId="77777777" w:rsidR="00E631CF" w:rsidRDefault="00E631CF" w:rsidP="00E631CF">
      <w:r>
        <w:t>SteriClean by Optimal prices services by project, not by the hour. This means pricing is based on</w:t>
      </w:r>
    </w:p>
    <w:p w14:paraId="464A327A" w14:textId="77777777" w:rsidR="00E631CF" w:rsidRDefault="00E631CF" w:rsidP="00E631CF">
      <w:r>
        <w:t>the condition of the space, level of response required, and scope of practice — not how long a</w:t>
      </w:r>
    </w:p>
    <w:p w14:paraId="277F5AFF" w14:textId="77777777" w:rsidR="00E631CF" w:rsidRDefault="00E631CF" w:rsidP="00E631CF">
      <w:r>
        <w:t>cleaner is present.</w:t>
      </w:r>
    </w:p>
    <w:p w14:paraId="092AB717" w14:textId="77777777" w:rsidR="00E631CF" w:rsidRDefault="00E631CF" w:rsidP="00E631CF">
      <w:pPr>
        <w:rPr>
          <w:b/>
          <w:bCs/>
          <w:color w:val="053D58" w:themeColor="accent1"/>
          <w:sz w:val="24"/>
          <w:szCs w:val="24"/>
        </w:rPr>
      </w:pPr>
    </w:p>
    <w:p w14:paraId="5BD2B8F5" w14:textId="3BC4D4F6" w:rsidR="00E631CF" w:rsidRPr="00E631CF" w:rsidRDefault="00E631CF" w:rsidP="00E631CF">
      <w:pPr>
        <w:rPr>
          <w:b/>
          <w:bCs/>
          <w:color w:val="053D58" w:themeColor="accent1"/>
          <w:sz w:val="24"/>
          <w:szCs w:val="24"/>
        </w:rPr>
      </w:pPr>
      <w:r w:rsidRPr="00E631CF">
        <w:rPr>
          <w:b/>
          <w:bCs/>
          <w:color w:val="053D58" w:themeColor="accent1"/>
          <w:sz w:val="24"/>
          <w:szCs w:val="24"/>
        </w:rPr>
        <w:t>Why We Don’t Charge Hourly</w:t>
      </w:r>
    </w:p>
    <w:p w14:paraId="3E0E846B" w14:textId="77777777" w:rsidR="00E631CF" w:rsidRDefault="00E631CF" w:rsidP="00E631CF">
      <w:r>
        <w:t>Hourly pricing rewards slowness and creates uncertainty. Project-based pricing allows us to work</w:t>
      </w:r>
    </w:p>
    <w:p w14:paraId="4DFAC88C" w14:textId="77777777" w:rsidR="00E631CF" w:rsidRDefault="00E631CF" w:rsidP="00E631CF">
      <w:r>
        <w:t>efficiently while delivering consistent, high-quality results.</w:t>
      </w:r>
    </w:p>
    <w:p w14:paraId="5497E304" w14:textId="77777777" w:rsidR="00E631CF" w:rsidRDefault="00E631CF" w:rsidP="00E631CF">
      <w:pPr>
        <w:rPr>
          <w:b/>
          <w:bCs/>
          <w:color w:val="053D58" w:themeColor="accent1"/>
          <w:sz w:val="24"/>
          <w:szCs w:val="24"/>
        </w:rPr>
      </w:pPr>
    </w:p>
    <w:p w14:paraId="4E0202D3" w14:textId="6ED0A005" w:rsidR="00E631CF" w:rsidRPr="00E631CF" w:rsidRDefault="00E631CF" w:rsidP="00E631CF">
      <w:pPr>
        <w:rPr>
          <w:b/>
          <w:bCs/>
          <w:color w:val="053D58" w:themeColor="accent1"/>
          <w:sz w:val="24"/>
          <w:szCs w:val="24"/>
        </w:rPr>
      </w:pPr>
      <w:r w:rsidRPr="00E631CF">
        <w:rPr>
          <w:b/>
          <w:bCs/>
          <w:color w:val="053D58" w:themeColor="accent1"/>
          <w:sz w:val="24"/>
          <w:szCs w:val="24"/>
        </w:rPr>
        <w:t>What Affects Price</w:t>
      </w:r>
    </w:p>
    <w:p w14:paraId="3E3349DF" w14:textId="77777777" w:rsidR="00E631CF" w:rsidRDefault="00E631CF" w:rsidP="00E631CF">
      <w:r>
        <w:t>• Size of the space</w:t>
      </w:r>
    </w:p>
    <w:p w14:paraId="50A5B518" w14:textId="77777777" w:rsidR="00E631CF" w:rsidRDefault="00E631CF" w:rsidP="00E631CF">
      <w:r>
        <w:t>• Condition and buildup</w:t>
      </w:r>
    </w:p>
    <w:p w14:paraId="002145B2" w14:textId="77777777" w:rsidR="00E631CF" w:rsidRDefault="00E631CF" w:rsidP="00E631CF">
      <w:r>
        <w:t>• Pets and hair levels</w:t>
      </w:r>
    </w:p>
    <w:p w14:paraId="767A75B2" w14:textId="77777777" w:rsidR="00E631CF" w:rsidRDefault="00E631CF" w:rsidP="00E631CF">
      <w:r>
        <w:t>• Special conditions or access issues</w:t>
      </w:r>
    </w:p>
    <w:p w14:paraId="5B07C919" w14:textId="59358D4C" w:rsidR="00E631CF" w:rsidRPr="00E631CF" w:rsidRDefault="00E631CF" w:rsidP="00E631CF">
      <w:r w:rsidRPr="00E631CF">
        <w:rPr>
          <w:b/>
          <w:bCs/>
          <w:color w:val="053D58" w:themeColor="accent1"/>
          <w:sz w:val="24"/>
          <w:szCs w:val="24"/>
        </w:rPr>
        <w:lastRenderedPageBreak/>
        <w:t>Frequently Asked Questions</w:t>
      </w:r>
    </w:p>
    <w:p w14:paraId="54BABA05" w14:textId="77777777" w:rsidR="00E631CF" w:rsidRPr="00E631CF" w:rsidRDefault="00E631CF" w:rsidP="00E631CF">
      <w:pPr>
        <w:rPr>
          <w:b/>
          <w:bCs/>
          <w:i/>
          <w:iCs/>
        </w:rPr>
      </w:pPr>
      <w:r w:rsidRPr="00E631CF">
        <w:rPr>
          <w:b/>
          <w:bCs/>
          <w:i/>
          <w:iCs/>
        </w:rPr>
        <w:t>Why don’t you charge by the hour?</w:t>
      </w:r>
    </w:p>
    <w:p w14:paraId="1A7F27E9" w14:textId="77777777" w:rsidR="00E631CF" w:rsidRPr="006E6EB9" w:rsidRDefault="00E631CF" w:rsidP="00E631CF">
      <w:pPr>
        <w:rPr>
          <w:b/>
          <w:bCs/>
          <w:color w:val="860000"/>
        </w:rPr>
      </w:pPr>
      <w:r w:rsidRPr="006E6EB9">
        <w:rPr>
          <w:b/>
          <w:bCs/>
          <w:color w:val="860000"/>
        </w:rPr>
        <w:t>Hourly pricing often rewards inefficiency. Project-based pricing ensures the job is done right, not</w:t>
      </w:r>
    </w:p>
    <w:p w14:paraId="1B2AE42C" w14:textId="77777777" w:rsidR="00E631CF" w:rsidRPr="006E6EB9" w:rsidRDefault="00E631CF" w:rsidP="00E631CF">
      <w:pPr>
        <w:rPr>
          <w:b/>
          <w:bCs/>
          <w:color w:val="860000"/>
        </w:rPr>
      </w:pPr>
      <w:r w:rsidRPr="006E6EB9">
        <w:rPr>
          <w:b/>
          <w:bCs/>
          <w:color w:val="860000"/>
        </w:rPr>
        <w:t>rushed.</w:t>
      </w:r>
    </w:p>
    <w:p w14:paraId="57802D3F" w14:textId="77777777" w:rsidR="00E631CF" w:rsidRPr="006E6EB9" w:rsidRDefault="00E631CF" w:rsidP="00E631CF">
      <w:pPr>
        <w:rPr>
          <w:b/>
          <w:bCs/>
          <w:i/>
          <w:iCs/>
        </w:rPr>
      </w:pPr>
      <w:r w:rsidRPr="006E6EB9">
        <w:rPr>
          <w:b/>
          <w:bCs/>
          <w:i/>
          <w:iCs/>
        </w:rPr>
        <w:t>How do you decide which service level I need?</w:t>
      </w:r>
    </w:p>
    <w:p w14:paraId="6B54ABBE" w14:textId="77777777" w:rsidR="00E631CF" w:rsidRPr="006E6EB9" w:rsidRDefault="00E631CF" w:rsidP="00E631CF">
      <w:pPr>
        <w:rPr>
          <w:b/>
          <w:bCs/>
          <w:color w:val="860000"/>
        </w:rPr>
      </w:pPr>
      <w:r w:rsidRPr="006E6EB9">
        <w:rPr>
          <w:b/>
          <w:bCs/>
          <w:color w:val="860000"/>
        </w:rPr>
        <w:t>We assess the overall condition and scope of your space to match it with the appropriate level of care.</w:t>
      </w:r>
    </w:p>
    <w:p w14:paraId="2A4D7A68" w14:textId="77777777" w:rsidR="00E631CF" w:rsidRPr="006E6EB9" w:rsidRDefault="00E631CF" w:rsidP="00E631CF">
      <w:pPr>
        <w:rPr>
          <w:b/>
          <w:bCs/>
          <w:i/>
          <w:iCs/>
        </w:rPr>
      </w:pPr>
      <w:r w:rsidRPr="006E6EB9">
        <w:rPr>
          <w:b/>
          <w:bCs/>
          <w:i/>
          <w:iCs/>
        </w:rPr>
        <w:t>If one room is messy, will my price increase?</w:t>
      </w:r>
    </w:p>
    <w:p w14:paraId="795DAE49" w14:textId="77777777" w:rsidR="00E631CF" w:rsidRPr="006E6EB9" w:rsidRDefault="00E631CF" w:rsidP="00E631CF">
      <w:pPr>
        <w:rPr>
          <w:b/>
          <w:bCs/>
          <w:color w:val="860000"/>
        </w:rPr>
      </w:pPr>
      <w:r w:rsidRPr="006E6EB9">
        <w:rPr>
          <w:b/>
          <w:bCs/>
          <w:color w:val="860000"/>
        </w:rPr>
        <w:t>Not automatically. We look at the home as a whole to keep pricing fair.</w:t>
      </w:r>
    </w:p>
    <w:p w14:paraId="19F423CD" w14:textId="77777777" w:rsidR="00E631CF" w:rsidRPr="006E6EB9" w:rsidRDefault="00E631CF" w:rsidP="00E631CF">
      <w:pPr>
        <w:rPr>
          <w:b/>
          <w:bCs/>
          <w:i/>
          <w:iCs/>
        </w:rPr>
      </w:pPr>
      <w:r w:rsidRPr="006E6EB9">
        <w:rPr>
          <w:b/>
          <w:bCs/>
          <w:i/>
          <w:iCs/>
        </w:rPr>
        <w:t>Can pricing change once service starts?</w:t>
      </w:r>
    </w:p>
    <w:p w14:paraId="2B6A6765" w14:textId="2EE946D3" w:rsidR="00E631CF" w:rsidRPr="006E6EB9" w:rsidRDefault="00E631CF" w:rsidP="00E631CF">
      <w:pPr>
        <w:rPr>
          <w:b/>
          <w:bCs/>
          <w:color w:val="860000"/>
        </w:rPr>
      </w:pPr>
      <w:r w:rsidRPr="006E6EB9">
        <w:rPr>
          <w:b/>
          <w:bCs/>
          <w:color w:val="860000"/>
        </w:rPr>
        <w:t>Only if on-site conditions differ significantly from what was disclosed. Any adjustments are discussed</w:t>
      </w:r>
      <w:r w:rsidR="006E6EB9">
        <w:rPr>
          <w:b/>
          <w:bCs/>
          <w:color w:val="860000"/>
        </w:rPr>
        <w:t xml:space="preserve"> </w:t>
      </w:r>
      <w:r w:rsidRPr="006E6EB9">
        <w:rPr>
          <w:b/>
          <w:bCs/>
          <w:color w:val="860000"/>
        </w:rPr>
        <w:t>before proceeding.</w:t>
      </w:r>
    </w:p>
    <w:p w14:paraId="2C0D4D4F" w14:textId="77777777" w:rsidR="00E631CF" w:rsidRPr="006E6EB9" w:rsidRDefault="00E631CF" w:rsidP="00E631CF">
      <w:pPr>
        <w:rPr>
          <w:b/>
          <w:bCs/>
          <w:i/>
          <w:iCs/>
        </w:rPr>
      </w:pPr>
      <w:r w:rsidRPr="006E6EB9">
        <w:rPr>
          <w:b/>
          <w:bCs/>
          <w:i/>
          <w:iCs/>
        </w:rPr>
        <w:t>Do add-ons affect my service level?</w:t>
      </w:r>
    </w:p>
    <w:p w14:paraId="155B8B58" w14:textId="77777777" w:rsidR="00E631CF" w:rsidRPr="006E6EB9" w:rsidRDefault="00E631CF" w:rsidP="00E631CF">
      <w:pPr>
        <w:rPr>
          <w:b/>
          <w:bCs/>
          <w:color w:val="860000"/>
        </w:rPr>
      </w:pPr>
      <w:r w:rsidRPr="006E6EB9">
        <w:rPr>
          <w:b/>
          <w:bCs/>
          <w:color w:val="860000"/>
        </w:rPr>
        <w:t>No. Add-ons are optional and priced separately.</w:t>
      </w:r>
    </w:p>
    <w:p w14:paraId="73FD78EC" w14:textId="77777777" w:rsidR="00E631CF" w:rsidRPr="006E6EB9" w:rsidRDefault="00E631CF" w:rsidP="00E631CF">
      <w:pPr>
        <w:rPr>
          <w:b/>
          <w:bCs/>
          <w:i/>
          <w:iCs/>
        </w:rPr>
      </w:pPr>
      <w:r w:rsidRPr="006E6EB9">
        <w:rPr>
          <w:b/>
          <w:bCs/>
          <w:i/>
          <w:iCs/>
        </w:rPr>
        <w:t>Do I need to be home during service?</w:t>
      </w:r>
    </w:p>
    <w:p w14:paraId="177769B7" w14:textId="7A9A8C19" w:rsidR="003312ED" w:rsidRPr="006E6EB9" w:rsidRDefault="00E631CF" w:rsidP="00E631CF">
      <w:pPr>
        <w:rPr>
          <w:b/>
          <w:bCs/>
          <w:color w:val="860000"/>
        </w:rPr>
      </w:pPr>
      <w:r w:rsidRPr="006E6EB9">
        <w:rPr>
          <w:b/>
          <w:bCs/>
          <w:color w:val="860000"/>
        </w:rPr>
        <w:t xml:space="preserve">Client absence is preferred but not required. If present, we ask for unobstructed </w:t>
      </w:r>
      <w:r w:rsidR="006E6EB9" w:rsidRPr="006E6EB9">
        <w:rPr>
          <w:b/>
          <w:bCs/>
          <w:color w:val="860000"/>
        </w:rPr>
        <w:t>access. Our</w:t>
      </w:r>
      <w:r w:rsidRPr="006E6EB9">
        <w:rPr>
          <w:b/>
          <w:bCs/>
          <w:color w:val="860000"/>
        </w:rPr>
        <w:t xml:space="preserve"> systems are designed to be fair, transparent, and respectful of your time and space. If you </w:t>
      </w:r>
      <w:r w:rsidR="006E6EB9" w:rsidRPr="006E6EB9">
        <w:rPr>
          <w:b/>
          <w:bCs/>
          <w:color w:val="860000"/>
        </w:rPr>
        <w:t>ever have</w:t>
      </w:r>
      <w:r w:rsidRPr="006E6EB9">
        <w:rPr>
          <w:b/>
          <w:bCs/>
          <w:color w:val="860000"/>
        </w:rPr>
        <w:t xml:space="preserve"> questions, we’re happy to explain what level was chosen and why.</w:t>
      </w:r>
    </w:p>
    <w:sectPr w:rsidR="003312ED" w:rsidRPr="006E6EB9" w:rsidSect="00DD04BF">
      <w:footerReference w:type="default" r:id="rId11"/>
      <w:pgSz w:w="12240" w:h="15840" w:code="1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B9981" w14:textId="77777777" w:rsidR="006D75A9" w:rsidRDefault="006D75A9">
      <w:pPr>
        <w:spacing w:after="0" w:line="240" w:lineRule="auto"/>
      </w:pPr>
      <w:r>
        <w:separator/>
      </w:r>
    </w:p>
  </w:endnote>
  <w:endnote w:type="continuationSeparator" w:id="0">
    <w:p w14:paraId="259EB4B0" w14:textId="77777777" w:rsidR="006D75A9" w:rsidRDefault="006D7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5A87" w14:textId="77777777" w:rsidR="001E042A" w:rsidRDefault="001E042A" w:rsidP="001E042A">
    <w:pPr>
      <w:pStyle w:val="Footer"/>
    </w:pPr>
    <w:r w:rsidRPr="001E042A">
      <w:fldChar w:fldCharType="begin"/>
    </w:r>
    <w:r w:rsidRPr="001E042A">
      <w:instrText xml:space="preserve"> PAGE   \* MERGEFORMAT </w:instrText>
    </w:r>
    <w:r w:rsidRPr="001E042A">
      <w:fldChar w:fldCharType="separate"/>
    </w:r>
    <w:r w:rsidR="00D57E3E">
      <w:t>1</w:t>
    </w:r>
    <w:r w:rsidRPr="001E042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F436F" w14:textId="77777777" w:rsidR="006D75A9" w:rsidRDefault="006D75A9">
      <w:pPr>
        <w:spacing w:after="0" w:line="240" w:lineRule="auto"/>
      </w:pPr>
      <w:r>
        <w:separator/>
      </w:r>
    </w:p>
  </w:footnote>
  <w:footnote w:type="continuationSeparator" w:id="0">
    <w:p w14:paraId="51CA782D" w14:textId="77777777" w:rsidR="006D75A9" w:rsidRDefault="006D7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24C1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321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C49E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E0BE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420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AAA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1E90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A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787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C8A5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D37C1"/>
    <w:multiLevelType w:val="multilevel"/>
    <w:tmpl w:val="6340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787987"/>
    <w:multiLevelType w:val="multilevel"/>
    <w:tmpl w:val="DBDC05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32D41" w:themeColor="accent1" w:themeShade="BF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32D41" w:themeColor="accent1" w:themeShade="BF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  <w:color w:val="032D41" w:themeColor="accent1" w:themeShade="BF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032D41" w:themeColor="accent1" w:themeShade="BF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color w:val="032D41" w:themeColor="accent1" w:themeShade="BF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  <w:color w:val="032D41" w:themeColor="accent1" w:themeShade="BF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032D41" w:themeColor="accent1" w:themeShade="BF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color w:val="032D41" w:themeColor="accent1" w:themeShade="BF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  <w:color w:val="032D41" w:themeColor="accent1" w:themeShade="BF"/>
      </w:rPr>
    </w:lvl>
  </w:abstractNum>
  <w:abstractNum w:abstractNumId="13" w15:restartNumberingAfterBreak="0">
    <w:nsid w:val="657E5D71"/>
    <w:multiLevelType w:val="multilevel"/>
    <w:tmpl w:val="5F92E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032D41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32D41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32D41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32D41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032D41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032D41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032D41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032D41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032D41" w:themeColor="accent1" w:themeShade="BF"/>
      </w:rPr>
    </w:lvl>
  </w:abstractNum>
  <w:num w:numId="1" w16cid:durableId="363289122">
    <w:abstractNumId w:val="9"/>
  </w:num>
  <w:num w:numId="2" w16cid:durableId="1773436715">
    <w:abstractNumId w:val="13"/>
  </w:num>
  <w:num w:numId="3" w16cid:durableId="394398141">
    <w:abstractNumId w:val="13"/>
    <w:lvlOverride w:ilvl="0">
      <w:startOverride w:val="1"/>
    </w:lvlOverride>
  </w:num>
  <w:num w:numId="4" w16cid:durableId="65955723">
    <w:abstractNumId w:val="10"/>
  </w:num>
  <w:num w:numId="5" w16cid:durableId="900142883">
    <w:abstractNumId w:val="7"/>
  </w:num>
  <w:num w:numId="6" w16cid:durableId="1106651772">
    <w:abstractNumId w:val="6"/>
  </w:num>
  <w:num w:numId="7" w16cid:durableId="1284071850">
    <w:abstractNumId w:val="5"/>
  </w:num>
  <w:num w:numId="8" w16cid:durableId="2023974801">
    <w:abstractNumId w:val="4"/>
  </w:num>
  <w:num w:numId="9" w16cid:durableId="815872695">
    <w:abstractNumId w:val="8"/>
  </w:num>
  <w:num w:numId="10" w16cid:durableId="551623239">
    <w:abstractNumId w:val="3"/>
  </w:num>
  <w:num w:numId="11" w16cid:durableId="1153762191">
    <w:abstractNumId w:val="2"/>
  </w:num>
  <w:num w:numId="12" w16cid:durableId="1139957664">
    <w:abstractNumId w:val="1"/>
  </w:num>
  <w:num w:numId="13" w16cid:durableId="1142621376">
    <w:abstractNumId w:val="0"/>
  </w:num>
  <w:num w:numId="14" w16cid:durableId="8878826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148622">
    <w:abstractNumId w:val="12"/>
  </w:num>
  <w:num w:numId="16" w16cid:durableId="9606488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CF"/>
    <w:rsid w:val="000232EA"/>
    <w:rsid w:val="00023DA4"/>
    <w:rsid w:val="000277C5"/>
    <w:rsid w:val="00046997"/>
    <w:rsid w:val="0004739A"/>
    <w:rsid w:val="000709D4"/>
    <w:rsid w:val="00070A66"/>
    <w:rsid w:val="00083B37"/>
    <w:rsid w:val="000A0612"/>
    <w:rsid w:val="000B3ABF"/>
    <w:rsid w:val="000B4CCC"/>
    <w:rsid w:val="000E3526"/>
    <w:rsid w:val="000E68B6"/>
    <w:rsid w:val="0010364E"/>
    <w:rsid w:val="001042A8"/>
    <w:rsid w:val="001067A1"/>
    <w:rsid w:val="00121E91"/>
    <w:rsid w:val="00175DE0"/>
    <w:rsid w:val="00190C79"/>
    <w:rsid w:val="001A153F"/>
    <w:rsid w:val="001A728E"/>
    <w:rsid w:val="001D3121"/>
    <w:rsid w:val="001E042A"/>
    <w:rsid w:val="00206A9A"/>
    <w:rsid w:val="00225505"/>
    <w:rsid w:val="00233587"/>
    <w:rsid w:val="002A511A"/>
    <w:rsid w:val="002C200F"/>
    <w:rsid w:val="002C5EA6"/>
    <w:rsid w:val="002F0604"/>
    <w:rsid w:val="00325DA6"/>
    <w:rsid w:val="003312ED"/>
    <w:rsid w:val="00364BB0"/>
    <w:rsid w:val="00385CDF"/>
    <w:rsid w:val="00394A77"/>
    <w:rsid w:val="004018C1"/>
    <w:rsid w:val="00446879"/>
    <w:rsid w:val="004727F4"/>
    <w:rsid w:val="0047771A"/>
    <w:rsid w:val="004A0A8D"/>
    <w:rsid w:val="004A3CE2"/>
    <w:rsid w:val="004C5EC7"/>
    <w:rsid w:val="004E0E4E"/>
    <w:rsid w:val="00535D67"/>
    <w:rsid w:val="0056348C"/>
    <w:rsid w:val="00575B92"/>
    <w:rsid w:val="005C7488"/>
    <w:rsid w:val="005D4DC9"/>
    <w:rsid w:val="005F7999"/>
    <w:rsid w:val="00626EDA"/>
    <w:rsid w:val="0063680F"/>
    <w:rsid w:val="006401F4"/>
    <w:rsid w:val="006756D5"/>
    <w:rsid w:val="006802D1"/>
    <w:rsid w:val="00680E37"/>
    <w:rsid w:val="006C025B"/>
    <w:rsid w:val="006C3A7B"/>
    <w:rsid w:val="006D75A9"/>
    <w:rsid w:val="006D7FF8"/>
    <w:rsid w:val="006E6EB9"/>
    <w:rsid w:val="00701FEF"/>
    <w:rsid w:val="00704472"/>
    <w:rsid w:val="007301C1"/>
    <w:rsid w:val="00791457"/>
    <w:rsid w:val="007F372E"/>
    <w:rsid w:val="00801102"/>
    <w:rsid w:val="008051CD"/>
    <w:rsid w:val="008471C0"/>
    <w:rsid w:val="0087771F"/>
    <w:rsid w:val="00896240"/>
    <w:rsid w:val="008D5E06"/>
    <w:rsid w:val="008D6D77"/>
    <w:rsid w:val="008E631E"/>
    <w:rsid w:val="00914873"/>
    <w:rsid w:val="00954BFF"/>
    <w:rsid w:val="00963CF3"/>
    <w:rsid w:val="00971F80"/>
    <w:rsid w:val="009923A8"/>
    <w:rsid w:val="009A1CF0"/>
    <w:rsid w:val="009B1731"/>
    <w:rsid w:val="009C0227"/>
    <w:rsid w:val="009C47D4"/>
    <w:rsid w:val="009E2B16"/>
    <w:rsid w:val="009F629A"/>
    <w:rsid w:val="00A67AE6"/>
    <w:rsid w:val="00A819F8"/>
    <w:rsid w:val="00AA0568"/>
    <w:rsid w:val="00AA316B"/>
    <w:rsid w:val="00AC59CE"/>
    <w:rsid w:val="00B04D5B"/>
    <w:rsid w:val="00B05004"/>
    <w:rsid w:val="00B27C2B"/>
    <w:rsid w:val="00B62D04"/>
    <w:rsid w:val="00B80D0D"/>
    <w:rsid w:val="00BA1451"/>
    <w:rsid w:val="00BC1FD2"/>
    <w:rsid w:val="00BD7D71"/>
    <w:rsid w:val="00BE3695"/>
    <w:rsid w:val="00C01E4F"/>
    <w:rsid w:val="00C026B2"/>
    <w:rsid w:val="00C244A1"/>
    <w:rsid w:val="00C305F6"/>
    <w:rsid w:val="00C76CE4"/>
    <w:rsid w:val="00C92C41"/>
    <w:rsid w:val="00C94B82"/>
    <w:rsid w:val="00CA22D1"/>
    <w:rsid w:val="00CA5572"/>
    <w:rsid w:val="00CC74D2"/>
    <w:rsid w:val="00D04747"/>
    <w:rsid w:val="00D212E6"/>
    <w:rsid w:val="00D27A92"/>
    <w:rsid w:val="00D42A38"/>
    <w:rsid w:val="00D50009"/>
    <w:rsid w:val="00D57E3E"/>
    <w:rsid w:val="00D80AC9"/>
    <w:rsid w:val="00DB24CB"/>
    <w:rsid w:val="00DD04BF"/>
    <w:rsid w:val="00DF5013"/>
    <w:rsid w:val="00E218A3"/>
    <w:rsid w:val="00E41C52"/>
    <w:rsid w:val="00E46BE3"/>
    <w:rsid w:val="00E631CF"/>
    <w:rsid w:val="00E87276"/>
    <w:rsid w:val="00E9640A"/>
    <w:rsid w:val="00ED7DC4"/>
    <w:rsid w:val="00EF6247"/>
    <w:rsid w:val="00F1586E"/>
    <w:rsid w:val="00F16B15"/>
    <w:rsid w:val="00F37B71"/>
    <w:rsid w:val="00F40908"/>
    <w:rsid w:val="00F62FD6"/>
    <w:rsid w:val="00F95167"/>
    <w:rsid w:val="00FB06AF"/>
    <w:rsid w:val="00FB0D9C"/>
    <w:rsid w:val="00F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DA2A0"/>
  <w15:chartTrackingRefBased/>
  <w15:docId w15:val="{B7A50282-C105-43A8-9C4D-E58E2D2C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6B2"/>
    <w:pPr>
      <w:spacing w:after="2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572"/>
    <w:pPr>
      <w:keepNext/>
      <w:keepLines/>
      <w:spacing w:before="600" w:line="240" w:lineRule="auto"/>
      <w:outlineLvl w:val="0"/>
    </w:pPr>
    <w:rPr>
      <w:rFonts w:asciiTheme="majorHAnsi" w:hAnsiTheme="majorHAnsi" w:cs="Times New Roman (Body CS)"/>
      <w:b/>
      <w:bCs/>
      <w:caps/>
      <w:color w:val="EDA516" w:themeColor="accent4"/>
      <w:spacing w:val="10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04747"/>
    <w:pPr>
      <w:keepNext/>
      <w:keepLines/>
      <w:numPr>
        <w:numId w:val="4"/>
      </w:numPr>
      <w:spacing w:before="360" w:after="0" w:line="240" w:lineRule="auto"/>
      <w:outlineLvl w:val="1"/>
    </w:pPr>
    <w:rPr>
      <w:rFonts w:cs="Times New Roman (Body CS)"/>
      <w:b/>
      <w:bCs/>
      <w:color w:val="3D97B6" w:themeColor="accent2"/>
      <w:spacing w:val="1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E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21E2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E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32D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E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32D4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E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E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96240"/>
    <w:pPr>
      <w:spacing w:after="0" w:line="480" w:lineRule="exact"/>
    </w:pPr>
    <w:rPr>
      <w:rFonts w:asciiTheme="majorHAnsi" w:eastAsiaTheme="majorEastAsia" w:hAnsiTheme="majorHAnsi" w:cs="Times New Roman (Headings CS)"/>
      <w:caps/>
      <w:color w:val="053D58" w:themeColor="accent1"/>
      <w:spacing w:val="10"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896240"/>
    <w:rPr>
      <w:rFonts w:asciiTheme="majorHAnsi" w:eastAsiaTheme="majorEastAsia" w:hAnsiTheme="majorHAnsi" w:cs="Times New Roman (Headings CS)"/>
      <w:caps/>
      <w:color w:val="053D58" w:themeColor="accent1"/>
      <w:spacing w:val="10"/>
      <w:kern w:val="28"/>
      <w:sz w:val="4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2"/>
    <w:qFormat/>
    <w:rsid w:val="00D04747"/>
    <w:pPr>
      <w:numPr>
        <w:ilvl w:val="1"/>
      </w:numPr>
      <w:spacing w:before="80" w:after="0" w:line="280" w:lineRule="exact"/>
    </w:pPr>
    <w:rPr>
      <w:rFonts w:cs="Times New Roman (Body CS)"/>
      <w:b/>
      <w:bCs/>
      <w:color w:val="3D97B6" w:themeColor="accent2"/>
      <w:spacing w:val="1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D04747"/>
    <w:rPr>
      <w:rFonts w:cs="Times New Roman (Body CS)"/>
      <w:b/>
      <w:bCs/>
      <w:color w:val="3D97B6" w:themeColor="accent2"/>
      <w:spacing w:val="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5572"/>
    <w:rPr>
      <w:rFonts w:asciiTheme="majorHAnsi" w:hAnsiTheme="majorHAnsi" w:cs="Times New Roman (Body CS)"/>
      <w:b/>
      <w:bCs/>
      <w:caps/>
      <w:color w:val="EDA516" w:themeColor="accent4"/>
      <w:spacing w:val="10"/>
      <w:sz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AFE2FA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19"/>
    <w:rsid w:val="00DD04BF"/>
    <w:pPr>
      <w:spacing w:after="120" w:line="264" w:lineRule="auto"/>
      <w:ind w:right="576"/>
    </w:pPr>
    <w:rPr>
      <w:iCs/>
      <w:sz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E06"/>
    <w:rPr>
      <w:rFonts w:asciiTheme="majorHAnsi" w:eastAsiaTheme="majorEastAsia" w:hAnsiTheme="majorHAnsi" w:cstheme="majorBidi"/>
      <w:color w:val="021E2B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026B2"/>
    <w:rPr>
      <w:rFonts w:cs="Times New Roman (Body CS)"/>
      <w:b/>
      <w:bCs/>
      <w:color w:val="3D97B6" w:themeColor="accent2"/>
      <w:spacing w:val="1"/>
      <w:sz w:val="24"/>
    </w:rPr>
  </w:style>
  <w:style w:type="paragraph" w:styleId="ListBullet">
    <w:name w:val="List Bullet"/>
    <w:basedOn w:val="Normal"/>
    <w:uiPriority w:val="11"/>
    <w:qFormat/>
    <w:rsid w:val="00DD04BF"/>
    <w:pPr>
      <w:numPr>
        <w:numId w:val="2"/>
      </w:numPr>
      <w:spacing w:after="60"/>
    </w:pPr>
    <w:rPr>
      <w:i/>
      <w:sz w:val="18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26B2"/>
    <w:rPr>
      <w:sz w:val="20"/>
    </w:rPr>
  </w:style>
  <w:style w:type="paragraph" w:styleId="Footer">
    <w:name w:val="footer"/>
    <w:basedOn w:val="Normal"/>
    <w:link w:val="FooterChar"/>
    <w:uiPriority w:val="99"/>
    <w:rsid w:val="0056348C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EDA516" w:themeColor="accent4"/>
    </w:rPr>
  </w:style>
  <w:style w:type="character" w:customStyle="1" w:styleId="FooterChar">
    <w:name w:val="Footer Char"/>
    <w:basedOn w:val="DefaultParagraphFont"/>
    <w:link w:val="Footer"/>
    <w:uiPriority w:val="99"/>
    <w:rsid w:val="00C026B2"/>
    <w:rPr>
      <w:rFonts w:asciiTheme="majorHAnsi" w:eastAsiaTheme="majorEastAsia" w:hAnsiTheme="majorHAnsi" w:cstheme="majorBidi"/>
      <w:noProof/>
      <w:color w:val="EDA516" w:themeColor="accent4"/>
      <w:sz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12A8F1" w:themeColor="accent1" w:themeTint="99"/>
        <w:left w:val="single" w:sz="4" w:space="0" w:color="12A8F1" w:themeColor="accent1" w:themeTint="99"/>
        <w:bottom w:val="single" w:sz="4" w:space="0" w:color="12A8F1" w:themeColor="accent1" w:themeTint="99"/>
        <w:right w:val="single" w:sz="4" w:space="0" w:color="12A8F1" w:themeColor="accent1" w:themeTint="99"/>
        <w:insideH w:val="single" w:sz="4" w:space="0" w:color="12A8F1" w:themeColor="accent1" w:themeTint="99"/>
        <w:insideV w:val="single" w:sz="4" w:space="0" w:color="12A8F1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3D58" w:themeColor="accent1"/>
          <w:left w:val="single" w:sz="4" w:space="0" w:color="053D58" w:themeColor="accent1"/>
          <w:bottom w:val="single" w:sz="4" w:space="0" w:color="053D58" w:themeColor="accent1"/>
          <w:right w:val="single" w:sz="4" w:space="0" w:color="053D58" w:themeColor="accent1"/>
          <w:insideH w:val="nil"/>
          <w:insideV w:val="nil"/>
        </w:tcBorders>
        <w:shd w:val="clear" w:color="auto" w:fill="053D58" w:themeFill="accent1"/>
      </w:tcPr>
    </w:tblStylePr>
    <w:tblStylePr w:type="lastRow">
      <w:rPr>
        <w:b/>
        <w:bCs/>
      </w:rPr>
      <w:tblPr/>
      <w:tcPr>
        <w:tcBorders>
          <w:top w:val="double" w:sz="4" w:space="0" w:color="053D5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FA" w:themeFill="accent1" w:themeFillTint="33"/>
      </w:tcPr>
    </w:tblStylePr>
    <w:tblStylePr w:type="band1Horz">
      <w:tblPr/>
      <w:tcPr>
        <w:shd w:val="clear" w:color="auto" w:fill="AFE2FA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rsid w:val="00C026B2"/>
    <w:pPr>
      <w:spacing w:before="120" w:after="120" w:line="240" w:lineRule="auto"/>
    </w:pPr>
    <w:tblPr>
      <w:tblStyleRowBandSize w:val="1"/>
      <w:tblBorders>
        <w:top w:val="single" w:sz="4" w:space="0" w:color="053D58" w:themeColor="accent1"/>
        <w:left w:val="single" w:sz="4" w:space="0" w:color="053D58" w:themeColor="accent1"/>
        <w:bottom w:val="single" w:sz="4" w:space="0" w:color="053D58" w:themeColor="accent1"/>
        <w:right w:val="single" w:sz="4" w:space="0" w:color="053D58" w:themeColor="accent1"/>
        <w:insideH w:val="single" w:sz="4" w:space="0" w:color="053D58" w:themeColor="accent1"/>
        <w:insideV w:val="single" w:sz="4" w:space="0" w:color="053D58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tcBorders>
          <w:top w:val="single" w:sz="4" w:space="0" w:color="053D58" w:themeColor="accent1"/>
          <w:left w:val="single" w:sz="4" w:space="0" w:color="053D58" w:themeColor="accent1"/>
          <w:bottom w:val="single" w:sz="4" w:space="0" w:color="053D58" w:themeColor="accent1"/>
          <w:right w:val="single" w:sz="4" w:space="0" w:color="053D58" w:themeColor="accent1"/>
          <w:insideH w:val="single" w:sz="4" w:space="0" w:color="053D58" w:themeColor="accent1"/>
          <w:insideV w:val="single" w:sz="4" w:space="0" w:color="053D58" w:themeColor="accent1"/>
          <w:tl2br w:val="nil"/>
          <w:tr2bl w:val="nil"/>
        </w:tcBorders>
        <w:shd w:val="clear" w:color="auto" w:fill="99DDEC" w:themeFill="accent3"/>
      </w:tcPr>
    </w:tblStylePr>
    <w:tblStylePr w:type="lastRow">
      <w:rPr>
        <w:b/>
        <w:color w:val="FFFFFF" w:themeColor="background1"/>
      </w:rPr>
      <w:tblPr/>
      <w:tcPr>
        <w:shd w:val="clear" w:color="auto" w:fill="053D58" w:themeFill="accent1"/>
      </w:tcPr>
    </w:tblStylePr>
    <w:tblStylePr w:type="band2Horz">
      <w:tblPr/>
      <w:tcPr>
        <w:tcBorders>
          <w:top w:val="single" w:sz="4" w:space="0" w:color="053D58" w:themeColor="accent1"/>
          <w:left w:val="single" w:sz="4" w:space="0" w:color="053D58" w:themeColor="accent1"/>
          <w:bottom w:val="single" w:sz="4" w:space="0" w:color="053D58" w:themeColor="accent1"/>
          <w:right w:val="single" w:sz="4" w:space="0" w:color="053D58" w:themeColor="accent1"/>
          <w:insideH w:val="single" w:sz="4" w:space="0" w:color="053D58" w:themeColor="accent1"/>
          <w:insideV w:val="single" w:sz="4" w:space="0" w:color="053D58" w:themeColor="accent1"/>
          <w:tl2br w:val="nil"/>
          <w:tr2bl w:val="nil"/>
        </w:tcBorders>
        <w:shd w:val="clear" w:color="auto" w:fill="D0E8EC" w:themeFill="accent5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8D5E06"/>
    <w:rPr>
      <w:rFonts w:asciiTheme="majorHAnsi" w:eastAsiaTheme="majorEastAsia" w:hAnsiTheme="majorHAnsi" w:cstheme="majorBidi"/>
      <w:i/>
      <w:iCs/>
      <w:color w:val="032D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E06"/>
    <w:rPr>
      <w:rFonts w:asciiTheme="majorHAnsi" w:eastAsiaTheme="majorEastAsia" w:hAnsiTheme="majorHAnsi" w:cstheme="majorBidi"/>
      <w:color w:val="032D41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E0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E0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D5E06"/>
    <w:rPr>
      <w:i/>
      <w:iCs/>
      <w:color w:val="032D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D5E06"/>
    <w:pPr>
      <w:pBdr>
        <w:top w:val="single" w:sz="4" w:space="10" w:color="032D41" w:themeColor="accent1" w:themeShade="BF"/>
        <w:bottom w:val="single" w:sz="4" w:space="10" w:color="032D41" w:themeColor="accent1" w:themeShade="BF"/>
      </w:pBdr>
      <w:spacing w:before="360" w:after="360"/>
      <w:ind w:left="864" w:right="864"/>
      <w:jc w:val="center"/>
    </w:pPr>
    <w:rPr>
      <w:i/>
      <w:iCs/>
      <w:color w:val="032D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D5E06"/>
    <w:rPr>
      <w:i/>
      <w:iCs/>
      <w:color w:val="032D4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D5E06"/>
    <w:rPr>
      <w:b/>
      <w:bCs/>
      <w:caps w:val="0"/>
      <w:smallCaps/>
      <w:color w:val="032D41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8D5E06"/>
    <w:pPr>
      <w:pBdr>
        <w:top w:val="single" w:sz="2" w:space="10" w:color="032D41" w:themeColor="accent1" w:themeShade="BF"/>
        <w:left w:val="single" w:sz="2" w:space="10" w:color="032D41" w:themeColor="accent1" w:themeShade="BF"/>
        <w:bottom w:val="single" w:sz="2" w:space="10" w:color="032D41" w:themeColor="accent1" w:themeShade="BF"/>
        <w:right w:val="single" w:sz="2" w:space="10" w:color="032D41" w:themeColor="accent1" w:themeShade="BF"/>
      </w:pBdr>
      <w:ind w:left="1152" w:right="1152"/>
    </w:pPr>
    <w:rPr>
      <w:rFonts w:eastAsiaTheme="minorEastAsia"/>
      <w:i/>
      <w:iCs/>
      <w:color w:val="032D41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8D5E06"/>
    <w:rPr>
      <w:color w:val="5F97AC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06"/>
    <w:rPr>
      <w:color w:val="595959" w:themeColor="text1" w:themeTint="A6"/>
      <w:shd w:val="clear" w:color="auto" w:fill="E1DFDD"/>
    </w:rPr>
  </w:style>
  <w:style w:type="paragraph" w:styleId="ListNumber">
    <w:name w:val="List Number"/>
    <w:basedOn w:val="Normal"/>
    <w:uiPriority w:val="11"/>
    <w:semiHidden/>
    <w:rsid w:val="00F16B15"/>
    <w:pPr>
      <w:numPr>
        <w:numId w:val="15"/>
      </w:numPr>
      <w:spacing w:after="60"/>
      <w:contextualSpacing/>
    </w:pPr>
  </w:style>
  <w:style w:type="table" w:styleId="PlainTable4">
    <w:name w:val="Plain Table 4"/>
    <w:basedOn w:val="TableNormal"/>
    <w:uiPriority w:val="44"/>
    <w:rsid w:val="00083B37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nfo">
    <w:name w:val="Info"/>
    <w:basedOn w:val="Normal"/>
    <w:semiHidden/>
    <w:qFormat/>
    <w:rsid w:val="009C0227"/>
    <w:pPr>
      <w:keepNext/>
      <w:spacing w:before="120" w:after="120" w:line="240" w:lineRule="auto"/>
    </w:pPr>
  </w:style>
  <w:style w:type="character" w:styleId="Emphasis">
    <w:name w:val="Emphasis"/>
    <w:uiPriority w:val="20"/>
    <w:semiHidden/>
    <w:qFormat/>
    <w:rsid w:val="00046997"/>
    <w:rPr>
      <w:rFonts w:asciiTheme="minorHAnsi" w:hAnsiTheme="minorHAnsi"/>
      <w:b/>
      <w:i w:val="0"/>
      <w:iCs/>
      <w:color w:val="404040" w:themeColor="text1" w:themeTint="B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9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loyd36\AppData\Roaming\Microsoft\Templates\Business%20project%20scope%20report.dotx" TargetMode="External"/></Relationships>
</file>

<file path=word/theme/theme1.xml><?xml version="1.0" encoding="utf-8"?>
<a:theme xmlns:a="http://schemas.openxmlformats.org/drawingml/2006/main" name="Office Theme">
  <a:themeElements>
    <a:clrScheme name="BusinessProjectScop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053D58"/>
      </a:accent1>
      <a:accent2>
        <a:srgbClr val="3D97B6"/>
      </a:accent2>
      <a:accent3>
        <a:srgbClr val="99DDEC"/>
      </a:accent3>
      <a:accent4>
        <a:srgbClr val="EDA516"/>
      </a:accent4>
      <a:accent5>
        <a:srgbClr val="D0E8EC"/>
      </a:accent5>
      <a:accent6>
        <a:srgbClr val="9BBECB"/>
      </a:accent6>
      <a:hlink>
        <a:srgbClr val="3D97B7"/>
      </a:hlink>
      <a:folHlink>
        <a:srgbClr val="EDA516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31B75D-9336-4D96-B201-D13E38C2A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382FA9-CEB6-C04C-869B-14E9F45937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C64F0E-02A2-48CB-8562-4E8DB07921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EF2D1228-205F-4B5E-93DC-95BDD112F3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Business project scope report</Template>
  <TotalTime>15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Jaha Floyd</dc:creator>
  <cp:lastModifiedBy>Jaha Floyd</cp:lastModifiedBy>
  <cp:revision>2</cp:revision>
  <cp:lastPrinted>2025-04-29T22:21:00Z</cp:lastPrinted>
  <dcterms:created xsi:type="dcterms:W3CDTF">2026-03-30T17:28:00Z</dcterms:created>
  <dcterms:modified xsi:type="dcterms:W3CDTF">2026-03-30T17:43:00Z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