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35" w:type="dxa"/>
        <w:tblBorders>
          <w:left w:val="single" w:sz="36" w:space="0" w:color="B37B0E" w:themeColor="accent4" w:themeShade="BF"/>
        </w:tblBorders>
        <w:tblLayout w:type="fixed"/>
        <w:tblCellMar>
          <w:left w:w="144" w:type="dxa"/>
        </w:tblCellMar>
        <w:tblLook w:val="0600" w:firstRow="0" w:lastRow="0" w:firstColumn="0" w:lastColumn="0" w:noHBand="1" w:noVBand="1"/>
      </w:tblPr>
      <w:tblGrid>
        <w:gridCol w:w="9450"/>
      </w:tblGrid>
      <w:tr w:rsidR="00C026B2" w14:paraId="08C7DCF2" w14:textId="77777777" w:rsidTr="00A21B9F">
        <w:trPr>
          <w:trHeight w:val="1260"/>
        </w:trPr>
        <w:tc>
          <w:tcPr>
            <w:tcW w:w="9450" w:type="dxa"/>
            <w:tcBorders>
              <w:left w:val="single" w:sz="36" w:space="0" w:color="053D58" w:themeColor="accent1"/>
            </w:tcBorders>
          </w:tcPr>
          <w:p w14:paraId="388E2FC6" w14:textId="77777777" w:rsidR="00C026B2" w:rsidRDefault="0078770B" w:rsidP="00C026B2">
            <w:pPr>
              <w:pStyle w:val="Title"/>
            </w:pPr>
            <w:r>
              <w:t>Stericlean</w:t>
            </w:r>
            <w:r w:rsidR="00C026B2">
              <w:t xml:space="preserve"> </w:t>
            </w:r>
          </w:p>
          <w:p w14:paraId="2CDF2CD6" w14:textId="5C2C459D" w:rsidR="0078770B" w:rsidRPr="0078770B" w:rsidRDefault="0078770B" w:rsidP="0078770B">
            <w:pPr>
              <w:rPr>
                <w:b/>
                <w:bCs/>
                <w:color w:val="92D050"/>
                <w:sz w:val="32"/>
                <w:szCs w:val="32"/>
              </w:rPr>
            </w:pPr>
            <w:r>
              <w:t xml:space="preserve">                                </w:t>
            </w:r>
            <w:r w:rsidRPr="0078770B">
              <w:rPr>
                <w:b/>
                <w:bCs/>
                <w:color w:val="92D050"/>
                <w:sz w:val="32"/>
                <w:szCs w:val="32"/>
              </w:rPr>
              <w:t>By Optimal</w:t>
            </w:r>
          </w:p>
        </w:tc>
      </w:tr>
      <w:tr w:rsidR="00C026B2" w14:paraId="56DEA563" w14:textId="77777777" w:rsidTr="00A21B9F">
        <w:trPr>
          <w:trHeight w:val="270"/>
        </w:trPr>
        <w:tc>
          <w:tcPr>
            <w:tcW w:w="9450" w:type="dxa"/>
            <w:tcBorders>
              <w:left w:val="single" w:sz="36" w:space="0" w:color="053D58" w:themeColor="accent1"/>
            </w:tcBorders>
          </w:tcPr>
          <w:p w14:paraId="7673E329" w14:textId="26D4734E" w:rsidR="00C026B2" w:rsidRDefault="0078770B" w:rsidP="00A21B9F">
            <w:pPr>
              <w:pStyle w:val="Subtitle"/>
            </w:pPr>
            <w:r>
              <w:t>Terms &amp; Conditions</w:t>
            </w:r>
            <w:r w:rsidR="00C026B2">
              <w:t xml:space="preserve"> </w:t>
            </w:r>
          </w:p>
        </w:tc>
      </w:tr>
    </w:tbl>
    <w:p w14:paraId="367BACCB" w14:textId="77777777" w:rsidR="00C026B2" w:rsidRDefault="00C026B2" w:rsidP="00C026B2">
      <w:pPr>
        <w:pStyle w:val="TipText"/>
      </w:pPr>
    </w:p>
    <w:p w14:paraId="41A0BBD1" w14:textId="77777777" w:rsidR="003312ED" w:rsidRDefault="00C026B2" w:rsidP="00C026B2">
      <w:pPr>
        <w:pStyle w:val="Heading1"/>
      </w:pPr>
      <w:r w:rsidRPr="00C026B2">
        <w:t>Overview</w:t>
      </w:r>
    </w:p>
    <w:p w14:paraId="70C8EB4B" w14:textId="77777777" w:rsidR="0078770B" w:rsidRPr="0078770B" w:rsidRDefault="0078770B" w:rsidP="0078770B">
      <w:pPr>
        <w:rPr>
          <w:b/>
          <w:bCs/>
          <w:color w:val="053D58" w:themeColor="accent1"/>
          <w:sz w:val="24"/>
          <w:szCs w:val="24"/>
        </w:rPr>
      </w:pPr>
      <w:r w:rsidRPr="0078770B">
        <w:rPr>
          <w:b/>
          <w:bCs/>
          <w:color w:val="053D58" w:themeColor="accent1"/>
          <w:sz w:val="24"/>
          <w:szCs w:val="24"/>
        </w:rPr>
        <w:t>1. Scope of Services</w:t>
      </w:r>
    </w:p>
    <w:p w14:paraId="66F78E49" w14:textId="77777777" w:rsidR="0078770B" w:rsidRDefault="0078770B" w:rsidP="0078770B">
      <w:r>
        <w:t>SteriClean by Optimal provides project-based residential and light commercial cleaning services</w:t>
      </w:r>
    </w:p>
    <w:p w14:paraId="421A720B" w14:textId="77777777" w:rsidR="0078770B" w:rsidRDefault="0078770B" w:rsidP="0078770B">
      <w:r>
        <w:t>according to the selected Level of Response and defined Scope of Practice. Services outside this</w:t>
      </w:r>
    </w:p>
    <w:p w14:paraId="0B95DC94" w14:textId="0F5FAC9C" w:rsidR="0078770B" w:rsidRDefault="0078770B" w:rsidP="0078770B">
      <w:r>
        <w:t xml:space="preserve">scope </w:t>
      </w:r>
      <w:r>
        <w:t>is</w:t>
      </w:r>
      <w:r>
        <w:t xml:space="preserve"> not included unless explicitly agreed to in writing.</w:t>
      </w:r>
    </w:p>
    <w:p w14:paraId="25A85A05" w14:textId="77777777" w:rsidR="0078770B" w:rsidRDefault="0078770B" w:rsidP="0078770B">
      <w:pPr>
        <w:rPr>
          <w:b/>
          <w:bCs/>
          <w:color w:val="053D58" w:themeColor="accent1"/>
          <w:sz w:val="24"/>
          <w:szCs w:val="24"/>
        </w:rPr>
      </w:pPr>
    </w:p>
    <w:p w14:paraId="0F3BBF4F" w14:textId="1CDEAD3A" w:rsidR="0078770B" w:rsidRPr="0078770B" w:rsidRDefault="0078770B" w:rsidP="0078770B">
      <w:pPr>
        <w:rPr>
          <w:b/>
          <w:bCs/>
          <w:color w:val="053D58" w:themeColor="accent1"/>
          <w:sz w:val="24"/>
          <w:szCs w:val="24"/>
        </w:rPr>
      </w:pPr>
      <w:r w:rsidRPr="0078770B">
        <w:rPr>
          <w:b/>
          <w:bCs/>
          <w:color w:val="053D58" w:themeColor="accent1"/>
          <w:sz w:val="24"/>
          <w:szCs w:val="24"/>
        </w:rPr>
        <w:t>2. Project-Based Pricing</w:t>
      </w:r>
    </w:p>
    <w:p w14:paraId="0226ED41" w14:textId="77777777" w:rsidR="0078770B" w:rsidRDefault="0078770B" w:rsidP="0078770B">
      <w:r>
        <w:t>All services are priced by project, not by the hour. Pricing is based on disclosed conditions, visible</w:t>
      </w:r>
    </w:p>
    <w:p w14:paraId="2A6888E4" w14:textId="77777777" w:rsidR="0078770B" w:rsidRDefault="0078770B" w:rsidP="0078770B">
      <w:r>
        <w:t>buildup, and level of response required. Pricing includes labor, supplies, equipment, and processing</w:t>
      </w:r>
    </w:p>
    <w:p w14:paraId="0758681A" w14:textId="77777777" w:rsidR="0078770B" w:rsidRDefault="0078770B" w:rsidP="0078770B">
      <w:r>
        <w:t>costs.</w:t>
      </w:r>
    </w:p>
    <w:p w14:paraId="74566A3F" w14:textId="77777777" w:rsidR="0078770B" w:rsidRDefault="0078770B" w:rsidP="0078770B">
      <w:pPr>
        <w:rPr>
          <w:b/>
          <w:bCs/>
          <w:color w:val="053D58" w:themeColor="accent1"/>
          <w:sz w:val="24"/>
          <w:szCs w:val="24"/>
        </w:rPr>
      </w:pPr>
    </w:p>
    <w:p w14:paraId="659E6CAF" w14:textId="46924463" w:rsidR="0078770B" w:rsidRPr="0078770B" w:rsidRDefault="0078770B" w:rsidP="0078770B">
      <w:pPr>
        <w:rPr>
          <w:b/>
          <w:bCs/>
          <w:color w:val="053D58" w:themeColor="accent1"/>
          <w:sz w:val="24"/>
          <w:szCs w:val="24"/>
        </w:rPr>
      </w:pPr>
      <w:r w:rsidRPr="0078770B">
        <w:rPr>
          <w:b/>
          <w:bCs/>
          <w:color w:val="053D58" w:themeColor="accent1"/>
          <w:sz w:val="24"/>
          <w:szCs w:val="24"/>
        </w:rPr>
        <w:t>3. Fee Buffer</w:t>
      </w:r>
    </w:p>
    <w:p w14:paraId="09BC5B1B" w14:textId="77777777" w:rsidR="0078770B" w:rsidRDefault="0078770B" w:rsidP="0078770B">
      <w:r>
        <w:t>Each Level of Response includes a built-in buffer to cover payment processing fees, operational</w:t>
      </w:r>
    </w:p>
    <w:p w14:paraId="19FFD302" w14:textId="77777777" w:rsidR="0078770B" w:rsidRDefault="0078770B" w:rsidP="0078770B">
      <w:r>
        <w:t>overhead, and supply replenishment. Clients are not charged separate payment or convenience</w:t>
      </w:r>
    </w:p>
    <w:p w14:paraId="064EB00C" w14:textId="77777777" w:rsidR="0078770B" w:rsidRDefault="0078770B" w:rsidP="0078770B">
      <w:r>
        <w:t>fees.</w:t>
      </w:r>
    </w:p>
    <w:p w14:paraId="474D63C6" w14:textId="77777777" w:rsidR="0078770B" w:rsidRDefault="0078770B" w:rsidP="0078770B">
      <w:pPr>
        <w:rPr>
          <w:b/>
          <w:bCs/>
          <w:color w:val="053D58" w:themeColor="accent1"/>
          <w:sz w:val="24"/>
          <w:szCs w:val="24"/>
        </w:rPr>
      </w:pPr>
    </w:p>
    <w:p w14:paraId="13C4784E" w14:textId="48B79EA1" w:rsidR="0078770B" w:rsidRPr="0078770B" w:rsidRDefault="0078770B" w:rsidP="0078770B">
      <w:pPr>
        <w:rPr>
          <w:b/>
          <w:bCs/>
          <w:color w:val="053D58" w:themeColor="accent1"/>
          <w:sz w:val="24"/>
          <w:szCs w:val="24"/>
        </w:rPr>
      </w:pPr>
      <w:r w:rsidRPr="0078770B">
        <w:rPr>
          <w:b/>
          <w:bCs/>
          <w:color w:val="053D58" w:themeColor="accent1"/>
          <w:sz w:val="24"/>
          <w:szCs w:val="24"/>
        </w:rPr>
        <w:t>4. Assessments &amp; Adjustments</w:t>
      </w:r>
    </w:p>
    <w:p w14:paraId="734807CC" w14:textId="77777777" w:rsidR="0078770B" w:rsidRDefault="0078770B" w:rsidP="0078770B">
      <w:r>
        <w:t>If on-site conditions differ materially from what was disclosed during booking, SteriClean reserves</w:t>
      </w:r>
    </w:p>
    <w:p w14:paraId="2D60178B" w14:textId="77777777" w:rsidR="0078770B" w:rsidRDefault="0078770B" w:rsidP="0078770B">
      <w:r>
        <w:t>the right to adjust pricing, level of response, or scope of service. Any changes will be communicated</w:t>
      </w:r>
    </w:p>
    <w:p w14:paraId="5A7401D7" w14:textId="77777777" w:rsidR="0078770B" w:rsidRDefault="0078770B" w:rsidP="0078770B">
      <w:r>
        <w:t>prior to continuation of service.</w:t>
      </w:r>
    </w:p>
    <w:p w14:paraId="450639CC" w14:textId="77777777" w:rsidR="0078770B" w:rsidRDefault="0078770B" w:rsidP="0078770B">
      <w:pPr>
        <w:rPr>
          <w:b/>
          <w:bCs/>
          <w:color w:val="053D58" w:themeColor="accent1"/>
          <w:sz w:val="24"/>
          <w:szCs w:val="24"/>
        </w:rPr>
      </w:pPr>
    </w:p>
    <w:p w14:paraId="2F7786D9" w14:textId="7EF9823C" w:rsidR="0078770B" w:rsidRPr="0078770B" w:rsidRDefault="0078770B" w:rsidP="0078770B">
      <w:pPr>
        <w:rPr>
          <w:b/>
          <w:bCs/>
          <w:color w:val="053D58" w:themeColor="accent1"/>
          <w:sz w:val="24"/>
          <w:szCs w:val="24"/>
        </w:rPr>
      </w:pPr>
      <w:r w:rsidRPr="0078770B">
        <w:rPr>
          <w:b/>
          <w:bCs/>
          <w:color w:val="053D58" w:themeColor="accent1"/>
          <w:sz w:val="24"/>
          <w:szCs w:val="24"/>
        </w:rPr>
        <w:lastRenderedPageBreak/>
        <w:t>5. Scope Exclusions</w:t>
      </w:r>
    </w:p>
    <w:p w14:paraId="177D0255" w14:textId="77777777" w:rsidR="0078770B" w:rsidRDefault="0078770B" w:rsidP="0078770B">
      <w:r>
        <w:t>SteriClean does not perform biohazard or trauma cleanup, mold remediation beyond surface-level</w:t>
      </w:r>
    </w:p>
    <w:p w14:paraId="31CF4601" w14:textId="77777777" w:rsidR="0078770B" w:rsidRDefault="0078770B" w:rsidP="0078770B">
      <w:r>
        <w:t>cleaning, pest or infestation removal, structural repair, demolition, or hazardous material handling.</w:t>
      </w:r>
    </w:p>
    <w:p w14:paraId="77BD6702" w14:textId="77777777" w:rsidR="0078770B" w:rsidRDefault="0078770B" w:rsidP="0078770B">
      <w:r>
        <w:t>Services requiring specialized licensing or equipment may be refused or referred.</w:t>
      </w:r>
    </w:p>
    <w:p w14:paraId="45F54A84" w14:textId="77777777" w:rsidR="0078770B" w:rsidRDefault="0078770B" w:rsidP="0078770B">
      <w:pPr>
        <w:rPr>
          <w:b/>
          <w:bCs/>
          <w:color w:val="053D58" w:themeColor="accent1"/>
          <w:sz w:val="24"/>
          <w:szCs w:val="24"/>
        </w:rPr>
      </w:pPr>
    </w:p>
    <w:p w14:paraId="38259EFB" w14:textId="40A2F09B" w:rsidR="0078770B" w:rsidRPr="0078770B" w:rsidRDefault="0078770B" w:rsidP="0078770B">
      <w:pPr>
        <w:rPr>
          <w:b/>
          <w:bCs/>
          <w:color w:val="053D58" w:themeColor="accent1"/>
          <w:sz w:val="24"/>
          <w:szCs w:val="24"/>
        </w:rPr>
      </w:pPr>
      <w:r w:rsidRPr="0078770B">
        <w:rPr>
          <w:b/>
          <w:bCs/>
          <w:color w:val="053D58" w:themeColor="accent1"/>
          <w:sz w:val="24"/>
          <w:szCs w:val="24"/>
        </w:rPr>
        <w:t>6. Client Responsibilities</w:t>
      </w:r>
    </w:p>
    <w:p w14:paraId="1650C25A" w14:textId="77777777" w:rsidR="0078770B" w:rsidRDefault="0078770B" w:rsidP="0078770B">
      <w:r>
        <w:t>Clients agree to secure pets, remove valuables, disclose hazards, and provide access to utilities.</w:t>
      </w:r>
    </w:p>
    <w:p w14:paraId="333CAEE5" w14:textId="77777777" w:rsidR="0078770B" w:rsidRDefault="0078770B" w:rsidP="0078770B">
      <w:r>
        <w:t>Failure to do so may result in modified service or cancellation without refund.</w:t>
      </w:r>
    </w:p>
    <w:p w14:paraId="0A72456B" w14:textId="77777777" w:rsidR="0078770B" w:rsidRDefault="0078770B" w:rsidP="0078770B">
      <w:pPr>
        <w:rPr>
          <w:b/>
          <w:bCs/>
          <w:color w:val="053D58" w:themeColor="accent1"/>
          <w:sz w:val="24"/>
          <w:szCs w:val="24"/>
        </w:rPr>
      </w:pPr>
    </w:p>
    <w:p w14:paraId="3A0E4382" w14:textId="6E388C7B" w:rsidR="0078770B" w:rsidRPr="0078770B" w:rsidRDefault="0078770B" w:rsidP="0078770B">
      <w:pPr>
        <w:rPr>
          <w:b/>
          <w:bCs/>
          <w:color w:val="053D58" w:themeColor="accent1"/>
          <w:sz w:val="24"/>
          <w:szCs w:val="24"/>
        </w:rPr>
      </w:pPr>
      <w:r w:rsidRPr="0078770B">
        <w:rPr>
          <w:b/>
          <w:bCs/>
          <w:color w:val="053D58" w:themeColor="accent1"/>
          <w:sz w:val="24"/>
          <w:szCs w:val="24"/>
        </w:rPr>
        <w:t>7. Payment Terms</w:t>
      </w:r>
    </w:p>
    <w:p w14:paraId="5040B488" w14:textId="77777777" w:rsidR="0078770B" w:rsidRDefault="0078770B" w:rsidP="0078770B">
      <w:r>
        <w:t>Payment is due upon completion of service unless otherwise agreed in writing. Accepted payment</w:t>
      </w:r>
    </w:p>
    <w:p w14:paraId="5D5AAB3B" w14:textId="77777777" w:rsidR="0078770B" w:rsidRDefault="0078770B" w:rsidP="0078770B">
      <w:r>
        <w:t>methods are determined by SteriClean at time of booking.</w:t>
      </w:r>
    </w:p>
    <w:p w14:paraId="47297DD4" w14:textId="77777777" w:rsidR="0078770B" w:rsidRDefault="0078770B" w:rsidP="0078770B">
      <w:pPr>
        <w:rPr>
          <w:b/>
          <w:bCs/>
          <w:color w:val="053D58" w:themeColor="accent1"/>
          <w:sz w:val="24"/>
          <w:szCs w:val="24"/>
        </w:rPr>
      </w:pPr>
    </w:p>
    <w:p w14:paraId="7A67F0DD" w14:textId="5CDDE1BA" w:rsidR="0078770B" w:rsidRPr="0078770B" w:rsidRDefault="0078770B" w:rsidP="0078770B">
      <w:pPr>
        <w:rPr>
          <w:b/>
          <w:bCs/>
          <w:color w:val="053D58" w:themeColor="accent1"/>
          <w:sz w:val="24"/>
          <w:szCs w:val="24"/>
        </w:rPr>
      </w:pPr>
      <w:r w:rsidRPr="0078770B">
        <w:rPr>
          <w:b/>
          <w:bCs/>
          <w:color w:val="053D58" w:themeColor="accent1"/>
          <w:sz w:val="24"/>
          <w:szCs w:val="24"/>
        </w:rPr>
        <w:t>8. Cancellations &amp; Rescheduling</w:t>
      </w:r>
    </w:p>
    <w:p w14:paraId="009046D9" w14:textId="77777777" w:rsidR="0078770B" w:rsidRDefault="0078770B" w:rsidP="0078770B">
      <w:r>
        <w:t>Cancellations or rescheduling requests must be made at least 24 hours prior to the scheduled</w:t>
      </w:r>
    </w:p>
    <w:p w14:paraId="39FAB059" w14:textId="77777777" w:rsidR="0078770B" w:rsidRDefault="0078770B" w:rsidP="0078770B">
      <w:r>
        <w:t>service. Late cancellations may be subject to a cancellation fee.</w:t>
      </w:r>
    </w:p>
    <w:p w14:paraId="614C250A" w14:textId="77777777" w:rsidR="0078770B" w:rsidRDefault="0078770B" w:rsidP="0078770B"/>
    <w:p w14:paraId="4135ECB7" w14:textId="77777777" w:rsidR="0078770B" w:rsidRPr="0078770B" w:rsidRDefault="0078770B" w:rsidP="0078770B">
      <w:pPr>
        <w:rPr>
          <w:b/>
          <w:bCs/>
          <w:color w:val="053D58" w:themeColor="accent1"/>
          <w:sz w:val="24"/>
          <w:szCs w:val="24"/>
        </w:rPr>
      </w:pPr>
      <w:r w:rsidRPr="0078770B">
        <w:rPr>
          <w:b/>
          <w:bCs/>
          <w:color w:val="053D58" w:themeColor="accent1"/>
          <w:sz w:val="24"/>
          <w:szCs w:val="24"/>
        </w:rPr>
        <w:t>9. Satisfaction Policy</w:t>
      </w:r>
    </w:p>
    <w:p w14:paraId="4CC6FA87" w14:textId="77777777" w:rsidR="0078770B" w:rsidRDefault="0078770B" w:rsidP="0078770B">
      <w:r>
        <w:t>Concerns must be reported within 24 hours of service completion. SteriClean will address</w:t>
      </w:r>
    </w:p>
    <w:p w14:paraId="0885E2EA" w14:textId="77777777" w:rsidR="0078770B" w:rsidRDefault="0078770B" w:rsidP="0078770B">
      <w:r>
        <w:t>reasonable issues related to the agreed Scope of Practice.</w:t>
      </w:r>
    </w:p>
    <w:p w14:paraId="24030D94" w14:textId="77777777" w:rsidR="0078770B" w:rsidRDefault="0078770B" w:rsidP="0078770B">
      <w:pPr>
        <w:rPr>
          <w:b/>
          <w:bCs/>
          <w:color w:val="053D58" w:themeColor="accent1"/>
          <w:sz w:val="24"/>
          <w:szCs w:val="24"/>
        </w:rPr>
      </w:pPr>
    </w:p>
    <w:p w14:paraId="135EE4A1" w14:textId="601F18B0" w:rsidR="0078770B" w:rsidRPr="0078770B" w:rsidRDefault="0078770B" w:rsidP="0078770B">
      <w:pPr>
        <w:rPr>
          <w:b/>
          <w:bCs/>
          <w:color w:val="053D58" w:themeColor="accent1"/>
          <w:sz w:val="24"/>
          <w:szCs w:val="24"/>
        </w:rPr>
      </w:pPr>
      <w:r w:rsidRPr="0078770B">
        <w:rPr>
          <w:b/>
          <w:bCs/>
          <w:color w:val="053D58" w:themeColor="accent1"/>
          <w:sz w:val="24"/>
          <w:szCs w:val="24"/>
        </w:rPr>
        <w:t>10. Right to Refuse Service</w:t>
      </w:r>
    </w:p>
    <w:p w14:paraId="3A75C21D" w14:textId="77777777" w:rsidR="0078770B" w:rsidRDefault="0078770B" w:rsidP="0078770B">
      <w:r>
        <w:t>SteriClean reserves the right to refuse or discontinue service if unsafe, undisclosed, or out-of-scope</w:t>
      </w:r>
    </w:p>
    <w:p w14:paraId="52A4B344" w14:textId="77777777" w:rsidR="0078770B" w:rsidRDefault="0078770B" w:rsidP="0078770B">
      <w:r>
        <w:t>conditions are present.</w:t>
      </w:r>
    </w:p>
    <w:p w14:paraId="2DFFF7C2" w14:textId="77777777" w:rsidR="0078770B" w:rsidRDefault="0078770B" w:rsidP="0078770B">
      <w:pPr>
        <w:rPr>
          <w:b/>
          <w:bCs/>
          <w:color w:val="053D58" w:themeColor="accent1"/>
          <w:sz w:val="24"/>
          <w:szCs w:val="24"/>
        </w:rPr>
      </w:pPr>
    </w:p>
    <w:p w14:paraId="137E24A7" w14:textId="01C2ECB8" w:rsidR="0078770B" w:rsidRPr="0078770B" w:rsidRDefault="0078770B" w:rsidP="0078770B">
      <w:pPr>
        <w:rPr>
          <w:b/>
          <w:bCs/>
          <w:color w:val="053D58" w:themeColor="accent1"/>
          <w:sz w:val="24"/>
          <w:szCs w:val="24"/>
        </w:rPr>
      </w:pPr>
      <w:r w:rsidRPr="0078770B">
        <w:rPr>
          <w:b/>
          <w:bCs/>
          <w:color w:val="053D58" w:themeColor="accent1"/>
          <w:sz w:val="24"/>
          <w:szCs w:val="24"/>
        </w:rPr>
        <w:lastRenderedPageBreak/>
        <w:t>11. Limitation of Liability</w:t>
      </w:r>
    </w:p>
    <w:p w14:paraId="6950D230" w14:textId="77777777" w:rsidR="0078770B" w:rsidRDefault="0078770B" w:rsidP="0078770B">
      <w:r>
        <w:t>Liability is limited to the cost of the service provided. SteriClean is not responsible for pre-existing</w:t>
      </w:r>
    </w:p>
    <w:p w14:paraId="5C9C6C21" w14:textId="77777777" w:rsidR="0078770B" w:rsidRDefault="0078770B" w:rsidP="0078770B">
      <w:r>
        <w:t>damage, wear, or undisclosed fragile items.</w:t>
      </w:r>
    </w:p>
    <w:p w14:paraId="77ED0F04" w14:textId="77777777" w:rsidR="0078770B" w:rsidRPr="0078770B" w:rsidRDefault="0078770B" w:rsidP="0078770B">
      <w:pPr>
        <w:rPr>
          <w:b/>
          <w:bCs/>
          <w:color w:val="053D58" w:themeColor="accent1"/>
          <w:sz w:val="24"/>
          <w:szCs w:val="24"/>
        </w:rPr>
      </w:pPr>
      <w:r w:rsidRPr="0078770B">
        <w:rPr>
          <w:b/>
          <w:bCs/>
          <w:color w:val="053D58" w:themeColor="accent1"/>
          <w:sz w:val="24"/>
          <w:szCs w:val="24"/>
        </w:rPr>
        <w:t>12. Acceptance of Terms</w:t>
      </w:r>
    </w:p>
    <w:p w14:paraId="36C75B51" w14:textId="5C661545" w:rsidR="0078770B" w:rsidRPr="0078770B" w:rsidRDefault="0078770B" w:rsidP="0078770B">
      <w:r>
        <w:t>Booking or payment for services constitutes acceptance of these Terms and Conditions.</w:t>
      </w:r>
    </w:p>
    <w:sectPr w:rsidR="0078770B" w:rsidRPr="0078770B" w:rsidSect="00DD04BF">
      <w:footerReference w:type="default" r:id="rId11"/>
      <w:pgSz w:w="12240" w:h="15840" w:code="1"/>
      <w:pgMar w:top="144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F8ACE" w14:textId="77777777" w:rsidR="005E40C2" w:rsidRDefault="005E40C2">
      <w:pPr>
        <w:spacing w:after="0" w:line="240" w:lineRule="auto"/>
      </w:pPr>
      <w:r>
        <w:separator/>
      </w:r>
    </w:p>
  </w:endnote>
  <w:endnote w:type="continuationSeparator" w:id="0">
    <w:p w14:paraId="45CA0143" w14:textId="77777777" w:rsidR="005E40C2" w:rsidRDefault="005E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663DE" w14:textId="77777777" w:rsidR="001E042A" w:rsidRDefault="001E042A" w:rsidP="001E042A">
    <w:pPr>
      <w:pStyle w:val="Footer"/>
    </w:pPr>
    <w:r w:rsidRPr="001E042A">
      <w:fldChar w:fldCharType="begin"/>
    </w:r>
    <w:r w:rsidRPr="001E042A">
      <w:instrText xml:space="preserve"> PAGE   \* MERGEFORMAT </w:instrText>
    </w:r>
    <w:r w:rsidRPr="001E042A">
      <w:fldChar w:fldCharType="separate"/>
    </w:r>
    <w:r w:rsidR="00D57E3E">
      <w:t>1</w:t>
    </w:r>
    <w:r w:rsidRPr="001E042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31E0C" w14:textId="77777777" w:rsidR="005E40C2" w:rsidRDefault="005E40C2">
      <w:pPr>
        <w:spacing w:after="0" w:line="240" w:lineRule="auto"/>
      </w:pPr>
      <w:r>
        <w:separator/>
      </w:r>
    </w:p>
  </w:footnote>
  <w:footnote w:type="continuationSeparator" w:id="0">
    <w:p w14:paraId="3200531F" w14:textId="77777777" w:rsidR="005E40C2" w:rsidRDefault="005E4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24C1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3210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C49E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E0BE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420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AAA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1E90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A6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787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C8A5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D582D"/>
    <w:multiLevelType w:val="hybridMultilevel"/>
    <w:tmpl w:val="E36C5F02"/>
    <w:lvl w:ilvl="0" w:tplc="E6640BB8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7D37C1"/>
    <w:multiLevelType w:val="multilevel"/>
    <w:tmpl w:val="6340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787987"/>
    <w:multiLevelType w:val="multilevel"/>
    <w:tmpl w:val="DBDC05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32D41" w:themeColor="accent1" w:themeShade="BF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32D41" w:themeColor="accent1" w:themeShade="BF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  <w:color w:val="032D41" w:themeColor="accent1" w:themeShade="BF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color w:val="032D41" w:themeColor="accent1" w:themeShade="BF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color w:val="032D41" w:themeColor="accent1" w:themeShade="BF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  <w:color w:val="032D41" w:themeColor="accent1" w:themeShade="BF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032D41" w:themeColor="accent1" w:themeShade="BF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color w:val="032D41" w:themeColor="accent1" w:themeShade="BF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  <w:color w:val="032D41" w:themeColor="accent1" w:themeShade="BF"/>
      </w:rPr>
    </w:lvl>
  </w:abstractNum>
  <w:abstractNum w:abstractNumId="13" w15:restartNumberingAfterBreak="0">
    <w:nsid w:val="657E5D71"/>
    <w:multiLevelType w:val="multilevel"/>
    <w:tmpl w:val="5F92E4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032D41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32D41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32D41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32D41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032D41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032D41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032D41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032D41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032D41" w:themeColor="accent1" w:themeShade="BF"/>
      </w:rPr>
    </w:lvl>
  </w:abstractNum>
  <w:num w:numId="1" w16cid:durableId="363289122">
    <w:abstractNumId w:val="9"/>
  </w:num>
  <w:num w:numId="2" w16cid:durableId="1773436715">
    <w:abstractNumId w:val="13"/>
  </w:num>
  <w:num w:numId="3" w16cid:durableId="394398141">
    <w:abstractNumId w:val="13"/>
    <w:lvlOverride w:ilvl="0">
      <w:startOverride w:val="1"/>
    </w:lvlOverride>
  </w:num>
  <w:num w:numId="4" w16cid:durableId="65955723">
    <w:abstractNumId w:val="10"/>
  </w:num>
  <w:num w:numId="5" w16cid:durableId="900142883">
    <w:abstractNumId w:val="7"/>
  </w:num>
  <w:num w:numId="6" w16cid:durableId="1106651772">
    <w:abstractNumId w:val="6"/>
  </w:num>
  <w:num w:numId="7" w16cid:durableId="1284071850">
    <w:abstractNumId w:val="5"/>
  </w:num>
  <w:num w:numId="8" w16cid:durableId="2023974801">
    <w:abstractNumId w:val="4"/>
  </w:num>
  <w:num w:numId="9" w16cid:durableId="815872695">
    <w:abstractNumId w:val="8"/>
  </w:num>
  <w:num w:numId="10" w16cid:durableId="551623239">
    <w:abstractNumId w:val="3"/>
  </w:num>
  <w:num w:numId="11" w16cid:durableId="1153762191">
    <w:abstractNumId w:val="2"/>
  </w:num>
  <w:num w:numId="12" w16cid:durableId="1139957664">
    <w:abstractNumId w:val="1"/>
  </w:num>
  <w:num w:numId="13" w16cid:durableId="1142621376">
    <w:abstractNumId w:val="0"/>
  </w:num>
  <w:num w:numId="14" w16cid:durableId="8878826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148622">
    <w:abstractNumId w:val="12"/>
  </w:num>
  <w:num w:numId="16" w16cid:durableId="9606488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0B"/>
    <w:rsid w:val="000232EA"/>
    <w:rsid w:val="00023DA4"/>
    <w:rsid w:val="000277C5"/>
    <w:rsid w:val="00046997"/>
    <w:rsid w:val="0004739A"/>
    <w:rsid w:val="000709D4"/>
    <w:rsid w:val="00070A66"/>
    <w:rsid w:val="00083B37"/>
    <w:rsid w:val="000A0612"/>
    <w:rsid w:val="000B3ABF"/>
    <w:rsid w:val="000B4CCC"/>
    <w:rsid w:val="000E3526"/>
    <w:rsid w:val="000E68B6"/>
    <w:rsid w:val="0010364E"/>
    <w:rsid w:val="001042A8"/>
    <w:rsid w:val="001067A1"/>
    <w:rsid w:val="00121E91"/>
    <w:rsid w:val="00175DE0"/>
    <w:rsid w:val="00190C79"/>
    <w:rsid w:val="001A153F"/>
    <w:rsid w:val="001A728E"/>
    <w:rsid w:val="001D3121"/>
    <w:rsid w:val="001E042A"/>
    <w:rsid w:val="00206A9A"/>
    <w:rsid w:val="00225505"/>
    <w:rsid w:val="00233587"/>
    <w:rsid w:val="002A511A"/>
    <w:rsid w:val="002C200F"/>
    <w:rsid w:val="002C5EA6"/>
    <w:rsid w:val="002F0604"/>
    <w:rsid w:val="00325DA6"/>
    <w:rsid w:val="003312ED"/>
    <w:rsid w:val="00364BB0"/>
    <w:rsid w:val="00385CDF"/>
    <w:rsid w:val="00394A77"/>
    <w:rsid w:val="004018C1"/>
    <w:rsid w:val="00446879"/>
    <w:rsid w:val="004727F4"/>
    <w:rsid w:val="0047771A"/>
    <w:rsid w:val="004A0A8D"/>
    <w:rsid w:val="004A3CE2"/>
    <w:rsid w:val="004C5EC7"/>
    <w:rsid w:val="004E0E4E"/>
    <w:rsid w:val="00535D67"/>
    <w:rsid w:val="0056348C"/>
    <w:rsid w:val="00575B92"/>
    <w:rsid w:val="005C7488"/>
    <w:rsid w:val="005D4DC9"/>
    <w:rsid w:val="005E40C2"/>
    <w:rsid w:val="005F7999"/>
    <w:rsid w:val="00626EDA"/>
    <w:rsid w:val="0063680F"/>
    <w:rsid w:val="006401F4"/>
    <w:rsid w:val="006756D5"/>
    <w:rsid w:val="006802D1"/>
    <w:rsid w:val="00680E37"/>
    <w:rsid w:val="006C025B"/>
    <w:rsid w:val="006C3A7B"/>
    <w:rsid w:val="006D7FF8"/>
    <w:rsid w:val="00701FEF"/>
    <w:rsid w:val="00704472"/>
    <w:rsid w:val="007301C1"/>
    <w:rsid w:val="0078770B"/>
    <w:rsid w:val="00791457"/>
    <w:rsid w:val="007F372E"/>
    <w:rsid w:val="00801102"/>
    <w:rsid w:val="008051CD"/>
    <w:rsid w:val="008471C0"/>
    <w:rsid w:val="0087771F"/>
    <w:rsid w:val="00896240"/>
    <w:rsid w:val="008D5E06"/>
    <w:rsid w:val="008D6D77"/>
    <w:rsid w:val="008E631E"/>
    <w:rsid w:val="00914873"/>
    <w:rsid w:val="00954BFF"/>
    <w:rsid w:val="00963CF3"/>
    <w:rsid w:val="00971F80"/>
    <w:rsid w:val="009923A8"/>
    <w:rsid w:val="009A1CF0"/>
    <w:rsid w:val="009B1731"/>
    <w:rsid w:val="009C0227"/>
    <w:rsid w:val="009C47D4"/>
    <w:rsid w:val="009E2B16"/>
    <w:rsid w:val="009F629A"/>
    <w:rsid w:val="00A67AE6"/>
    <w:rsid w:val="00A819F8"/>
    <w:rsid w:val="00AA0568"/>
    <w:rsid w:val="00AA316B"/>
    <w:rsid w:val="00AC59CE"/>
    <w:rsid w:val="00B04D5B"/>
    <w:rsid w:val="00B05004"/>
    <w:rsid w:val="00B27C2B"/>
    <w:rsid w:val="00B62D04"/>
    <w:rsid w:val="00B80D0D"/>
    <w:rsid w:val="00BC1FD2"/>
    <w:rsid w:val="00BD7D71"/>
    <w:rsid w:val="00BE3695"/>
    <w:rsid w:val="00C01E4F"/>
    <w:rsid w:val="00C026B2"/>
    <w:rsid w:val="00C244A1"/>
    <w:rsid w:val="00C305F6"/>
    <w:rsid w:val="00C76CE4"/>
    <w:rsid w:val="00C92C41"/>
    <w:rsid w:val="00C94B82"/>
    <w:rsid w:val="00CA22D1"/>
    <w:rsid w:val="00CA5572"/>
    <w:rsid w:val="00CC74D2"/>
    <w:rsid w:val="00D04747"/>
    <w:rsid w:val="00D212E6"/>
    <w:rsid w:val="00D27A92"/>
    <w:rsid w:val="00D42A38"/>
    <w:rsid w:val="00D50009"/>
    <w:rsid w:val="00D57E3E"/>
    <w:rsid w:val="00D80AC9"/>
    <w:rsid w:val="00DB24CB"/>
    <w:rsid w:val="00DD04BF"/>
    <w:rsid w:val="00DF5013"/>
    <w:rsid w:val="00E218A3"/>
    <w:rsid w:val="00E41C52"/>
    <w:rsid w:val="00E46BE3"/>
    <w:rsid w:val="00E87276"/>
    <w:rsid w:val="00E9640A"/>
    <w:rsid w:val="00ED7DC4"/>
    <w:rsid w:val="00EF6247"/>
    <w:rsid w:val="00F1586E"/>
    <w:rsid w:val="00F16B15"/>
    <w:rsid w:val="00F37B71"/>
    <w:rsid w:val="00F40908"/>
    <w:rsid w:val="00F62FD6"/>
    <w:rsid w:val="00F95167"/>
    <w:rsid w:val="00FB06AF"/>
    <w:rsid w:val="00FB0D9C"/>
    <w:rsid w:val="00FB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9F509"/>
  <w15:chartTrackingRefBased/>
  <w15:docId w15:val="{D05F7865-691C-4D6C-A005-3D3326B2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6B2"/>
    <w:pPr>
      <w:spacing w:after="24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572"/>
    <w:pPr>
      <w:keepNext/>
      <w:keepLines/>
      <w:spacing w:before="600" w:line="240" w:lineRule="auto"/>
      <w:outlineLvl w:val="0"/>
    </w:pPr>
    <w:rPr>
      <w:rFonts w:asciiTheme="majorHAnsi" w:hAnsiTheme="majorHAnsi" w:cs="Times New Roman (Body CS)"/>
      <w:b/>
      <w:bCs/>
      <w:caps/>
      <w:color w:val="EDA516" w:themeColor="accent4"/>
      <w:spacing w:val="10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04747"/>
    <w:pPr>
      <w:keepNext/>
      <w:keepLines/>
      <w:numPr>
        <w:numId w:val="4"/>
      </w:numPr>
      <w:spacing w:before="360" w:after="0" w:line="240" w:lineRule="auto"/>
      <w:outlineLvl w:val="1"/>
    </w:pPr>
    <w:rPr>
      <w:rFonts w:cs="Times New Roman (Body CS)"/>
      <w:b/>
      <w:bCs/>
      <w:color w:val="3D97B6" w:themeColor="accent2"/>
      <w:spacing w:val="1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E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21E2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E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32D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E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32D4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E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E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896240"/>
    <w:pPr>
      <w:spacing w:after="0" w:line="480" w:lineRule="exact"/>
    </w:pPr>
    <w:rPr>
      <w:rFonts w:asciiTheme="majorHAnsi" w:eastAsiaTheme="majorEastAsia" w:hAnsiTheme="majorHAnsi" w:cs="Times New Roman (Headings CS)"/>
      <w:caps/>
      <w:color w:val="053D58" w:themeColor="accent1"/>
      <w:spacing w:val="10"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896240"/>
    <w:rPr>
      <w:rFonts w:asciiTheme="majorHAnsi" w:eastAsiaTheme="majorEastAsia" w:hAnsiTheme="majorHAnsi" w:cs="Times New Roman (Headings CS)"/>
      <w:caps/>
      <w:color w:val="053D58" w:themeColor="accent1"/>
      <w:spacing w:val="10"/>
      <w:kern w:val="28"/>
      <w:sz w:val="4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2"/>
    <w:qFormat/>
    <w:rsid w:val="00D04747"/>
    <w:pPr>
      <w:numPr>
        <w:ilvl w:val="1"/>
      </w:numPr>
      <w:spacing w:before="80" w:after="0" w:line="280" w:lineRule="exact"/>
    </w:pPr>
    <w:rPr>
      <w:rFonts w:cs="Times New Roman (Body CS)"/>
      <w:b/>
      <w:bCs/>
      <w:color w:val="3D97B6" w:themeColor="accent2"/>
      <w:spacing w:val="1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D04747"/>
    <w:rPr>
      <w:rFonts w:cs="Times New Roman (Body CS)"/>
      <w:b/>
      <w:bCs/>
      <w:color w:val="3D97B6" w:themeColor="accent2"/>
      <w:spacing w:val="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5572"/>
    <w:rPr>
      <w:rFonts w:asciiTheme="majorHAnsi" w:hAnsiTheme="majorHAnsi" w:cs="Times New Roman (Body CS)"/>
      <w:b/>
      <w:bCs/>
      <w:caps/>
      <w:color w:val="EDA516" w:themeColor="accent4"/>
      <w:spacing w:val="10"/>
      <w:sz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AFE2FA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19"/>
    <w:rsid w:val="00DD04BF"/>
    <w:pPr>
      <w:spacing w:after="120" w:line="264" w:lineRule="auto"/>
      <w:ind w:right="576"/>
    </w:pPr>
    <w:rPr>
      <w:iCs/>
      <w:sz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E06"/>
    <w:rPr>
      <w:rFonts w:asciiTheme="majorHAnsi" w:eastAsiaTheme="majorEastAsia" w:hAnsiTheme="majorHAnsi" w:cstheme="majorBidi"/>
      <w:color w:val="021E2B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026B2"/>
    <w:rPr>
      <w:rFonts w:cs="Times New Roman (Body CS)"/>
      <w:b/>
      <w:bCs/>
      <w:color w:val="3D97B6" w:themeColor="accent2"/>
      <w:spacing w:val="1"/>
      <w:sz w:val="24"/>
    </w:rPr>
  </w:style>
  <w:style w:type="paragraph" w:styleId="ListBullet">
    <w:name w:val="List Bullet"/>
    <w:basedOn w:val="Normal"/>
    <w:uiPriority w:val="11"/>
    <w:qFormat/>
    <w:rsid w:val="00DD04BF"/>
    <w:pPr>
      <w:numPr>
        <w:numId w:val="2"/>
      </w:numPr>
      <w:spacing w:after="60"/>
    </w:pPr>
    <w:rPr>
      <w:i/>
      <w:sz w:val="18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26B2"/>
    <w:rPr>
      <w:sz w:val="20"/>
    </w:rPr>
  </w:style>
  <w:style w:type="paragraph" w:styleId="Footer">
    <w:name w:val="footer"/>
    <w:basedOn w:val="Normal"/>
    <w:link w:val="FooterChar"/>
    <w:uiPriority w:val="99"/>
    <w:rsid w:val="0056348C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EDA516" w:themeColor="accent4"/>
    </w:rPr>
  </w:style>
  <w:style w:type="character" w:customStyle="1" w:styleId="FooterChar">
    <w:name w:val="Footer Char"/>
    <w:basedOn w:val="DefaultParagraphFont"/>
    <w:link w:val="Footer"/>
    <w:uiPriority w:val="99"/>
    <w:rsid w:val="00C026B2"/>
    <w:rPr>
      <w:rFonts w:asciiTheme="majorHAnsi" w:eastAsiaTheme="majorEastAsia" w:hAnsiTheme="majorHAnsi" w:cstheme="majorBidi"/>
      <w:noProof/>
      <w:color w:val="EDA516" w:themeColor="accent4"/>
      <w:sz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12A8F1" w:themeColor="accent1" w:themeTint="99"/>
        <w:left w:val="single" w:sz="4" w:space="0" w:color="12A8F1" w:themeColor="accent1" w:themeTint="99"/>
        <w:bottom w:val="single" w:sz="4" w:space="0" w:color="12A8F1" w:themeColor="accent1" w:themeTint="99"/>
        <w:right w:val="single" w:sz="4" w:space="0" w:color="12A8F1" w:themeColor="accent1" w:themeTint="99"/>
        <w:insideH w:val="single" w:sz="4" w:space="0" w:color="12A8F1" w:themeColor="accent1" w:themeTint="99"/>
        <w:insideV w:val="single" w:sz="4" w:space="0" w:color="12A8F1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3D58" w:themeColor="accent1"/>
          <w:left w:val="single" w:sz="4" w:space="0" w:color="053D58" w:themeColor="accent1"/>
          <w:bottom w:val="single" w:sz="4" w:space="0" w:color="053D58" w:themeColor="accent1"/>
          <w:right w:val="single" w:sz="4" w:space="0" w:color="053D58" w:themeColor="accent1"/>
          <w:insideH w:val="nil"/>
          <w:insideV w:val="nil"/>
        </w:tcBorders>
        <w:shd w:val="clear" w:color="auto" w:fill="053D58" w:themeFill="accent1"/>
      </w:tcPr>
    </w:tblStylePr>
    <w:tblStylePr w:type="lastRow">
      <w:rPr>
        <w:b/>
        <w:bCs/>
      </w:rPr>
      <w:tblPr/>
      <w:tcPr>
        <w:tcBorders>
          <w:top w:val="double" w:sz="4" w:space="0" w:color="053D5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FA" w:themeFill="accent1" w:themeFillTint="33"/>
      </w:tcPr>
    </w:tblStylePr>
    <w:tblStylePr w:type="band1Horz">
      <w:tblPr/>
      <w:tcPr>
        <w:shd w:val="clear" w:color="auto" w:fill="AFE2FA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TableNormal"/>
    <w:uiPriority w:val="99"/>
    <w:rsid w:val="00C026B2"/>
    <w:pPr>
      <w:spacing w:before="120" w:after="120" w:line="240" w:lineRule="auto"/>
    </w:pPr>
    <w:tblPr>
      <w:tblStyleRowBandSize w:val="1"/>
      <w:tblBorders>
        <w:top w:val="single" w:sz="4" w:space="0" w:color="053D58" w:themeColor="accent1"/>
        <w:left w:val="single" w:sz="4" w:space="0" w:color="053D58" w:themeColor="accent1"/>
        <w:bottom w:val="single" w:sz="4" w:space="0" w:color="053D58" w:themeColor="accent1"/>
        <w:right w:val="single" w:sz="4" w:space="0" w:color="053D58" w:themeColor="accent1"/>
        <w:insideH w:val="single" w:sz="4" w:space="0" w:color="053D58" w:themeColor="accent1"/>
        <w:insideV w:val="single" w:sz="4" w:space="0" w:color="053D58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tcBorders>
          <w:top w:val="single" w:sz="4" w:space="0" w:color="053D58" w:themeColor="accent1"/>
          <w:left w:val="single" w:sz="4" w:space="0" w:color="053D58" w:themeColor="accent1"/>
          <w:bottom w:val="single" w:sz="4" w:space="0" w:color="053D58" w:themeColor="accent1"/>
          <w:right w:val="single" w:sz="4" w:space="0" w:color="053D58" w:themeColor="accent1"/>
          <w:insideH w:val="single" w:sz="4" w:space="0" w:color="053D58" w:themeColor="accent1"/>
          <w:insideV w:val="single" w:sz="4" w:space="0" w:color="053D58" w:themeColor="accent1"/>
          <w:tl2br w:val="nil"/>
          <w:tr2bl w:val="nil"/>
        </w:tcBorders>
        <w:shd w:val="clear" w:color="auto" w:fill="99DDEC" w:themeFill="accent3"/>
      </w:tcPr>
    </w:tblStylePr>
    <w:tblStylePr w:type="lastRow">
      <w:rPr>
        <w:b/>
        <w:color w:val="FFFFFF" w:themeColor="background1"/>
      </w:rPr>
      <w:tblPr/>
      <w:tcPr>
        <w:shd w:val="clear" w:color="auto" w:fill="053D58" w:themeFill="accent1"/>
      </w:tcPr>
    </w:tblStylePr>
    <w:tblStylePr w:type="band2Horz">
      <w:tblPr/>
      <w:tcPr>
        <w:tcBorders>
          <w:top w:val="single" w:sz="4" w:space="0" w:color="053D58" w:themeColor="accent1"/>
          <w:left w:val="single" w:sz="4" w:space="0" w:color="053D58" w:themeColor="accent1"/>
          <w:bottom w:val="single" w:sz="4" w:space="0" w:color="053D58" w:themeColor="accent1"/>
          <w:right w:val="single" w:sz="4" w:space="0" w:color="053D58" w:themeColor="accent1"/>
          <w:insideH w:val="single" w:sz="4" w:space="0" w:color="053D58" w:themeColor="accent1"/>
          <w:insideV w:val="single" w:sz="4" w:space="0" w:color="053D58" w:themeColor="accent1"/>
          <w:tl2br w:val="nil"/>
          <w:tr2bl w:val="nil"/>
        </w:tcBorders>
        <w:shd w:val="clear" w:color="auto" w:fill="D0E8EC" w:themeFill="accent5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8D5E06"/>
    <w:rPr>
      <w:rFonts w:asciiTheme="majorHAnsi" w:eastAsiaTheme="majorEastAsia" w:hAnsiTheme="majorHAnsi" w:cstheme="majorBidi"/>
      <w:i/>
      <w:iCs/>
      <w:color w:val="032D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E06"/>
    <w:rPr>
      <w:rFonts w:asciiTheme="majorHAnsi" w:eastAsiaTheme="majorEastAsia" w:hAnsiTheme="majorHAnsi" w:cstheme="majorBidi"/>
      <w:color w:val="032D41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E0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E0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D5E06"/>
    <w:rPr>
      <w:i/>
      <w:iCs/>
      <w:color w:val="032D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D5E06"/>
    <w:pPr>
      <w:pBdr>
        <w:top w:val="single" w:sz="4" w:space="10" w:color="032D41" w:themeColor="accent1" w:themeShade="BF"/>
        <w:bottom w:val="single" w:sz="4" w:space="10" w:color="032D41" w:themeColor="accent1" w:themeShade="BF"/>
      </w:pBdr>
      <w:spacing w:before="360" w:after="360"/>
      <w:ind w:left="864" w:right="864"/>
      <w:jc w:val="center"/>
    </w:pPr>
    <w:rPr>
      <w:i/>
      <w:iCs/>
      <w:color w:val="032D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D5E06"/>
    <w:rPr>
      <w:i/>
      <w:iCs/>
      <w:color w:val="032D4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D5E06"/>
    <w:rPr>
      <w:b/>
      <w:bCs/>
      <w:caps w:val="0"/>
      <w:smallCaps/>
      <w:color w:val="032D41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8D5E06"/>
    <w:pPr>
      <w:pBdr>
        <w:top w:val="single" w:sz="2" w:space="10" w:color="032D41" w:themeColor="accent1" w:themeShade="BF"/>
        <w:left w:val="single" w:sz="2" w:space="10" w:color="032D41" w:themeColor="accent1" w:themeShade="BF"/>
        <w:bottom w:val="single" w:sz="2" w:space="10" w:color="032D41" w:themeColor="accent1" w:themeShade="BF"/>
        <w:right w:val="single" w:sz="2" w:space="10" w:color="032D41" w:themeColor="accent1" w:themeShade="BF"/>
      </w:pBdr>
      <w:ind w:left="1152" w:right="1152"/>
    </w:pPr>
    <w:rPr>
      <w:rFonts w:eastAsiaTheme="minorEastAsia"/>
      <w:i/>
      <w:iCs/>
      <w:color w:val="032D41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8D5E06"/>
    <w:rPr>
      <w:color w:val="5F97AC" w:themeColor="accent6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06"/>
    <w:rPr>
      <w:color w:val="595959" w:themeColor="text1" w:themeTint="A6"/>
      <w:shd w:val="clear" w:color="auto" w:fill="E1DFDD"/>
    </w:rPr>
  </w:style>
  <w:style w:type="paragraph" w:styleId="ListNumber">
    <w:name w:val="List Number"/>
    <w:basedOn w:val="Normal"/>
    <w:uiPriority w:val="11"/>
    <w:semiHidden/>
    <w:rsid w:val="00F16B15"/>
    <w:pPr>
      <w:numPr>
        <w:numId w:val="15"/>
      </w:numPr>
      <w:spacing w:after="60"/>
      <w:contextualSpacing/>
    </w:pPr>
  </w:style>
  <w:style w:type="table" w:styleId="PlainTable4">
    <w:name w:val="Plain Table 4"/>
    <w:basedOn w:val="TableNormal"/>
    <w:uiPriority w:val="44"/>
    <w:rsid w:val="00083B37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Info">
    <w:name w:val="Info"/>
    <w:basedOn w:val="Normal"/>
    <w:semiHidden/>
    <w:qFormat/>
    <w:rsid w:val="009C0227"/>
    <w:pPr>
      <w:keepNext/>
      <w:spacing w:before="120" w:after="120" w:line="240" w:lineRule="auto"/>
    </w:pPr>
  </w:style>
  <w:style w:type="character" w:styleId="Emphasis">
    <w:name w:val="Emphasis"/>
    <w:uiPriority w:val="20"/>
    <w:semiHidden/>
    <w:qFormat/>
    <w:rsid w:val="00046997"/>
    <w:rPr>
      <w:rFonts w:asciiTheme="minorHAnsi" w:hAnsiTheme="minorHAnsi"/>
      <w:b/>
      <w:i w:val="0"/>
      <w:iCs/>
      <w:color w:val="404040" w:themeColor="text1" w:themeTint="B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9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loyd36\AppData\Roaming\Microsoft\Templates\Business%20project%20scope%20report.dotx" TargetMode="External"/></Relationships>
</file>

<file path=word/theme/theme1.xml><?xml version="1.0" encoding="utf-8"?>
<a:theme xmlns:a="http://schemas.openxmlformats.org/drawingml/2006/main" name="Office Theme">
  <a:themeElements>
    <a:clrScheme name="BusinessProjectScop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053D58"/>
      </a:accent1>
      <a:accent2>
        <a:srgbClr val="3D97B6"/>
      </a:accent2>
      <a:accent3>
        <a:srgbClr val="99DDEC"/>
      </a:accent3>
      <a:accent4>
        <a:srgbClr val="EDA516"/>
      </a:accent4>
      <a:accent5>
        <a:srgbClr val="D0E8EC"/>
      </a:accent5>
      <a:accent6>
        <a:srgbClr val="9BBECB"/>
      </a:accent6>
      <a:hlink>
        <a:srgbClr val="3D97B7"/>
      </a:hlink>
      <a:folHlink>
        <a:srgbClr val="EDA516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31B75D-9336-4D96-B201-D13E38C2A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382FA9-CEB6-C04C-869B-14E9F45937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C64F0E-02A2-48CB-8562-4E8DB07921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EF2D1228-205F-4B5E-93DC-95BDD112F3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Business project scope report</Template>
  <TotalTime>6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Jaha Floyd</dc:creator>
  <cp:lastModifiedBy>Jaha Floyd</cp:lastModifiedBy>
  <cp:revision>1</cp:revision>
  <cp:lastPrinted>2025-04-29T22:21:00Z</cp:lastPrinted>
  <dcterms:created xsi:type="dcterms:W3CDTF">2026-03-30T17:18:00Z</dcterms:created>
  <dcterms:modified xsi:type="dcterms:W3CDTF">2026-03-30T17:24:00Z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